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محمد بن محمد بن محمد بن اله القرشي
</w:t>
      </w:r>
    </w:p>
    <w:p>
      <w:pPr>
        <w:jc w:val="start"/>
        <w:bidi/>
      </w:pPr>
      <w:r>
        <w:rPr>
          <w:rFonts w:ascii="arial" w:hAnsi="arial" w:eastAsia="arial" w:cs="arial"/>
          <w:sz w:val="28"/>
          <w:szCs w:val="28"/>
          <w:b w:val="1"/>
          <w:bCs w:val="1"/>
          <w:rtl/>
        </w:rPr>
        <w:t xml:space="preserve">محمد بن عمر بن محمد بن محمد بن محمد بن اله القرشي
</w:t>
      </w:r>
    </w:p>
    <w:p>
      <w:pPr/>
      <w:r>
        <w:rPr/>
        <w:t xml:space="preserve">محمد بن عمر بن محمد بن محمد بن محمد بن اله القرشي محمد بن عمر بن محمد بن محمد بن محمد بن اله القرشي الأصبهاني ثم الدمشقي الكاتب سبط ابن الشيرجي وهو مجد الدين وجد ابيه وهو العماد الكاتب ولد في سلخ ربيع الأول سنة 637 أو سنة ثمان ومات والده سنة 642 فكفله جده ابن الشيرجي نجم الدين مظفر وأسمعه من التاج القرطبي واليلداني وآخرين وحدث بجزء الأنصاري عن أربعة وأربعين شيخا وأجاز له ابن القبيطي ومحمد بن سعيد الخازن وجماعة وعرض القرآن على الكمال ابن فارس وكان كثير التلاوة خدم في نظر ديوان زرع وفي نظر بعلبك وله نظم وفهم وحسن مذاكرة وحدث بدمشق ثم رجع إلى زرع فمات في 13 ذي القعدة سنة 726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2026-07-27T11:33:54+03:00</dcterms:created>
  <dcterms:modified xsi:type="dcterms:W3CDTF">2026-07-27T11:33:54+03:00</dcterms:modified>
</cp:coreProperties>
</file>

<file path=docProps/custom.xml><?xml version="1.0" encoding="utf-8"?>
<Properties xmlns="http://schemas.openxmlformats.org/officeDocument/2006/custom-properties" xmlns:vt="http://schemas.openxmlformats.org/officeDocument/2006/docPropsVTypes"/>
</file>