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أحمد بن رشيق الثعلبي
</w:t>
      </w:r>
    </w:p>
    <w:p>
      <w:pPr>
        <w:jc w:val="start"/>
        <w:bidi/>
      </w:pPr>
      <w:r>
        <w:rPr>
          <w:rFonts w:ascii="arial" w:hAnsi="arial" w:eastAsia="arial" w:cs="arial"/>
          <w:sz w:val="28"/>
          <w:szCs w:val="28"/>
          <w:b w:val="1"/>
          <w:bCs w:val="1"/>
          <w:rtl/>
        </w:rPr>
        <w:t xml:space="preserve">أيوب بن أحمد بن رشيق الثعلبي
</w:t>
      </w:r>
    </w:p>
    <w:p>
      <w:pPr/>
      <w:r>
        <w:rPr/>
        <w:t xml:space="preserve">أيوب بن أحمد بن رشيق الثعلبي مولاهم بجائي سكن شاطبة كنيته أبو القاسم هو جد عبد العزيز بن مكي بن أيوب كان فقيها حافظا أدبيا شاعرا صنف في النفقات والحضانات تأليفا حسنا.</w:t>
      </w:r>
    </w:p>
    <w:p>
      <w:pPr>
        <w:jc w:val="start"/>
        <w:bidi/>
      </w:pPr>
      <w:r>
        <w:rPr>
          <w:sz w:val="24"/>
          <w:szCs w:val="24"/>
          <w:b w:val="1"/>
          <w:bCs w:val="1"/>
          <w:rtl/>
        </w:rPr>
        <w:t xml:space="preserve">
الديباج المذهب في معرفة أعيان علماء المذهب،(دار التراث للطبع والنشر - القاهرة،2005،ط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2026-07-25T03:04:32+03:00</dcterms:created>
  <dcterms:modified xsi:type="dcterms:W3CDTF">2026-07-25T03:04:32+03:00</dcterms:modified>
</cp:coreProperties>
</file>

<file path=docProps/custom.xml><?xml version="1.0" encoding="utf-8"?>
<Properties xmlns="http://schemas.openxmlformats.org/officeDocument/2006/custom-properties" xmlns:vt="http://schemas.openxmlformats.org/officeDocument/2006/docPropsVTypes"/>
</file>