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المتوكل ابن يحيى
</w:t>
      </w:r>
    </w:p>
    <w:p>
      <w:pPr>
        <w:jc w:val="start"/>
        <w:bidi/>
      </w:pPr>
      <w:r>
        <w:rPr>
          <w:rFonts w:ascii="arial" w:hAnsi="arial" w:eastAsia="arial" w:cs="arial"/>
          <w:sz w:val="28"/>
          <w:szCs w:val="28"/>
          <w:b w:val="1"/>
          <w:bCs w:val="1"/>
          <w:rtl/>
        </w:rPr>
        <w:t xml:space="preserve">المتوكل ابن يحيى
</w:t>
      </w:r>
    </w:p>
    <w:p>
      <w:pPr/>
      <w:r>
        <w:rPr/>
        <w:t xml:space="preserve">المتوكل ابن يحيى  المطهر بن يحيى بن المرتضى بن القاسم، من ابناء الهادي إلى الحق: احد ائمة الزيدية في اليمن. قام بالدعوة سنة676هـ. وتلقب بالمتوكل. وكانت بينه وبين بعض معاصريه معارك، وكاد احدهم يظفر به في تنعيم (من جبال اللوز) فانتشر ضباب اختفى به صاحب الترجمة ونجا بمن معه، فلقب (المظلل بالغمامة) وتوفي ودفن في (ذروان حجة) شمالي صنعاء. له تآليف، منها (درة الغواص في احكام الخواص) و (الرسالة المزلزلة لاعضاد المعتزلة-خ) و (المسائل الناجية-خ) و (الكواكب الدرية-خ). </w:t>
      </w:r>
    </w:p>
    <w:p>
      <w:pPr>
        <w:jc w:val="start"/>
        <w:bidi/>
      </w:pPr>
      <w:r>
        <w:rPr>
          <w:sz w:val="24"/>
          <w:szCs w:val="24"/>
          <w:b w:val="1"/>
          <w:bCs w:val="1"/>
          <w:rtl/>
        </w:rPr>
        <w:t xml:space="preserve">
الأعلام،(دار العلم للملايين - بيروت،2002،ط 15،ج 7،ص 254)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2026-07-27T10:15:06+03:00</dcterms:created>
  <dcterms:modified xsi:type="dcterms:W3CDTF">2026-07-27T10:15:06+03:00</dcterms:modified>
</cp:coreProperties>
</file>

<file path=docProps/custom.xml><?xml version="1.0" encoding="utf-8"?>
<Properties xmlns="http://schemas.openxmlformats.org/officeDocument/2006/custom-properties" xmlns:vt="http://schemas.openxmlformats.org/officeDocument/2006/docPropsVTypes"/>
</file>