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أبو حفص بن عبد النور
</w:t>
      </w:r>
    </w:p>
    <w:p>
      <w:pPr>
        <w:jc w:val="start"/>
        <w:bidi/>
      </w:pPr>
      <w:r>
        <w:rPr>
          <w:rFonts w:ascii="arial" w:hAnsi="arial" w:eastAsia="arial" w:cs="arial"/>
          <w:sz w:val="28"/>
          <w:szCs w:val="28"/>
          <w:b w:val="1"/>
          <w:bCs w:val="1"/>
          <w:rtl/>
        </w:rPr>
        <w:t xml:space="preserve">عمر أبو حفص بن عبد النور
</w:t>
      </w:r>
    </w:p>
    <w:p>
      <w:pPr/>
      <w:r>
        <w:rPr/>
        <w:t xml:space="preserve">عمر أبو حفص بن عبد النور يعرف بابن الحكار صقلي فاضل عالم نظار محقق حسن الكلام والتأليف أديب شاعر حسن القول وله في المدونة شرح كبير نحو ثلاثمائة جزء وانتقد على التونسي ألف مسألة واختصر كتاب التمامات.</w:t>
      </w:r>
    </w:p>
    <w:p/>
    <w:p>
      <w:pPr/>
      <w:r>
        <w:rPr/>
        <w:t xml:space="preserve">قال عبد الله بن خطاب: حضرت مجلسه وهو يناظر بالبراذعي ويتكلم عليه كلاما عظيما فما سمعت بأدق من كلامه.</w:t>
      </w:r>
    </w:p>
    <w:p>
      <w:pPr>
        <w:jc w:val="start"/>
        <w:bidi/>
      </w:pPr>
      <w:r>
        <w:rPr>
          <w:sz w:val="24"/>
          <w:szCs w:val="24"/>
          <w:b w:val="1"/>
          <w:bCs w:val="1"/>
          <w:rtl/>
        </w:rPr>
        <w:t xml:space="preserve">
الديباج المذهب في معرفة أعيان علماء المذهب،(دار التراث للطبع والنشر - القاهرة،2005،ط 1،ج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2026-07-27T15:27:48+03:00</dcterms:created>
  <dcterms:modified xsi:type="dcterms:W3CDTF">2026-07-27T15:27:48+03:00</dcterms:modified>
</cp:coreProperties>
</file>

<file path=docProps/custom.xml><?xml version="1.0" encoding="utf-8"?>
<Properties xmlns="http://schemas.openxmlformats.org/officeDocument/2006/custom-properties" xmlns:vt="http://schemas.openxmlformats.org/officeDocument/2006/docPropsVTypes"/>
</file>