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النور الحميري التونسي
</w:t>
      </w:r>
    </w:p>
    <w:p>
      <w:pPr>
        <w:jc w:val="start"/>
        <w:bidi/>
      </w:pPr>
      <w:r>
        <w:rPr>
          <w:rFonts w:ascii="arial" w:hAnsi="arial" w:eastAsia="arial" w:cs="arial"/>
          <w:sz w:val="28"/>
          <w:szCs w:val="28"/>
          <w:b w:val="1"/>
          <w:bCs w:val="1"/>
          <w:rtl/>
        </w:rPr>
        <w:t xml:space="preserve">محمد بن محمد بن عبد النور الحميري التونسي
</w:t>
      </w:r>
    </w:p>
    <w:p>
      <w:pPr/>
      <w:r>
        <w:rPr/>
        <w:t xml:space="preserve">محمد بن محمد بن عبد النور الحميري التونسي كان من صدور العدول المبرزين أخذ العلم عن القاضي الإمام العالم أبي القاسم بن زيتون والقاضي الخطيب أبي محمد بن برطلة الأزدي وله تفنن في سائر العلوم وله تصانيف في عدة علوم واختصر تفسير الإمام فخر الدين بن الخطيب في سبعة أسفار اختصارا حسنا سماه: نفحات الطيب في اختصار تفسير ابن الخطيب وله على الحاصل تقييد كبير في سفرين وله في الفقه كتاب جمع فيه فتاوى على طريقة أحكام بن سهل سماه الحاوي في الفتاوى وله غير ذلك وكان بالحياة عام ست وعشرين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2026-07-27T17:09:27+03:00</dcterms:created>
  <dcterms:modified xsi:type="dcterms:W3CDTF">2026-07-27T17:09:27+03:00</dcterms:modified>
</cp:coreProperties>
</file>

<file path=docProps/custom.xml><?xml version="1.0" encoding="utf-8"?>
<Properties xmlns="http://schemas.openxmlformats.org/officeDocument/2006/custom-properties" xmlns:vt="http://schemas.openxmlformats.org/officeDocument/2006/docPropsVTypes"/>
</file>