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إبراهيم بن محمد بن سليمان، أبو إسحاق الفقيه، الموصلي، الغزنوي الأصل
</w:t>
      </w:r>
    </w:p>
    <w:p>
      <w:pPr>
        <w:jc w:val="start"/>
        <w:bidi/>
      </w:pPr>
      <w:r>
        <w:rPr>
          <w:rFonts w:ascii="arial" w:hAnsi="arial" w:eastAsia="arial" w:cs="arial"/>
          <w:sz w:val="28"/>
          <w:szCs w:val="28"/>
          <w:b w:val="1"/>
          <w:bCs w:val="1"/>
          <w:rtl/>
        </w:rPr>
        <w:t xml:space="preserve">إبراهيم بن أحمد بن إبراهيم بن محمد بن سليمان، أبو إسحاق الفقيه، الموصلي، الغزنوي الأصل
</w:t>
      </w:r>
    </w:p>
    <w:p>
      <w:pPr/>
      <w:r>
        <w:rPr/>
        <w:t xml:space="preserve">إبراهيم بن أحمد بن إبراهيم بن محمد بن سليمان، أبو إسحاق الفقيه، الموصلي، الغزنوي الأصل كان رحمه الله تعالى من كبار أصحاب الإمام برهان الدين أبي الحسن البلخي المشهور. تفقه عليه، وسمع منه الحديث، وكان معه بحلب.</w:t>
      </w:r>
    </w:p>
    <w:p/>
    <w:p>
      <w:pPr/>
      <w:r>
        <w:rPr/>
        <w:t xml:space="preserve">قال ابن عساكر: وما أظنه روى شيئا، وكذلك قال ابن العديم.</w:t>
      </w:r>
    </w:p>
    <w:p/>
    <w:p>
      <w:pPr/>
      <w:r>
        <w:rPr/>
        <w:t xml:space="preserve">قالا: واستنابة برهان الدين بمدينة بصرى، ثم ولي التدريس بالمدرسة الصادرية وولي قضاء الرها بعد فتحها من أيدي الفرنج.</w:t>
      </w:r>
    </w:p>
    <w:p/>
    <w:p>
      <w:pPr/>
      <w:r>
        <w:rPr/>
        <w:t xml:space="preserve">وذكر ابن عساكر أن والده هو الذي تولى القضاء بها.</w:t>
      </w:r>
    </w:p>
    <w:p/>
    <w:p>
      <w:pPr/>
      <w:r>
        <w:rPr/>
        <w:t xml:space="preserve">قال: وتوفي يوم الأربعاء، ثاني عشر ذي الحجة، سنة ستين وخمسمائة، ودفن بجبل قاسيون، رحمه الله تعالى.</w:t>
      </w:r>
    </w:p>
    <w:p/>
    <w:p>
      <w:pPr/>
      <w:r>
        <w:rPr/>
        <w:t xml:space="preserve">كذا ذكر هذه الترجمة في الجواهر ’’ الجواهر المضية ’’، ثم ذكر ترجمة مختصرة فيمن اسمه إبارهيم ابن محمد، وأرخ وفاة صاحبها كما هنا، ووعد في هذه الترجمة أن يذكر والد صاحبها أحمد في محله، ولم يذكره، فإما أن تكون الترجمتان لواحد، ويكون المؤلف أو الكاتب أسقط أباه أحمد، وجده إبراهيم، أو أن كل ترجمة منها لواحد غير الآخر، وقد اتفقا في الوفاة، والله تعالى أعلم.</w:t>
      </w:r>
    </w:p>
    <w:p>
      <w:pPr>
        <w:jc w:val="start"/>
        <w:bidi/>
      </w:pPr>
      <w:r>
        <w:rPr>
          <w:sz w:val="24"/>
          <w:szCs w:val="24"/>
          <w:b w:val="1"/>
          <w:bCs w:val="1"/>
          <w:rtl/>
        </w:rPr>
        <w:t xml:space="preserve">
الطبقات السنية في تراجم الحنفية،(دار الرفاعي - الرياض،1983،ط 0،ج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2026-07-27T16:16:21+03:00</dcterms:created>
  <dcterms:modified xsi:type="dcterms:W3CDTF">2026-07-27T16:16:21+03:00</dcterms:modified>
</cp:coreProperties>
</file>

<file path=docProps/custom.xml><?xml version="1.0" encoding="utf-8"?>
<Properties xmlns="http://schemas.openxmlformats.org/officeDocument/2006/custom-properties" xmlns:vt="http://schemas.openxmlformats.org/officeDocument/2006/docPropsVTypes"/>
</file>