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إبراهيم بن الجراح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إبراهيم بن الجراح
</w:t>
      </w:r>
    </w:p>
    <w:p>
      <w:pPr/>
      <w:r>
        <w:rPr/>
        <w:t xml:space="preserve">الحسن بن إبراهيم بن الجراح تقدم أبوه في بابه.</w:t>
      </w:r>
    </w:p>
    <w:p/>
    <w:p>
      <w:pPr/>
      <w:r>
        <w:rPr/>
        <w:t xml:space="preserve">والحسن هذا ذكره ابن يونس في ’’ تاريخ الغرباء ’’ وقال: قدم مصر مع أبيه، وتوفي بها سنة خمس وثمانين ومائتين.</w:t>
      </w:r>
    </w:p>
    <w:p/>
    <w:p>
      <w:pPr/>
      <w:r>
        <w:rPr/>
        <w:t xml:space="preserve">وقال ابن عبد الحكم: إنه قدم بعد أبيه. فإنه قال في حق أبيه: ولم يكن إبراهيم بالمذموم في أول ولايته، حتى قدم عليه ابنه من العراق، فتغير حاله، وفسدت أحكامه.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2026-07-27T09:08:08+03:00</dcterms:created>
  <dcterms:modified xsi:type="dcterms:W3CDTF">2026-07-27T09:08:08+03:00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