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عبد الرحمن بن أحمد بن محمد، أبو المظفر الخوارزمي المولد، ثم المكي
</w:t>
      </w:r>
    </w:p>
    <w:p>
      <w:pPr>
        <w:jc w:val="start"/>
        <w:bidi/>
      </w:pPr>
      <w:r>
        <w:rPr>
          <w:rFonts w:ascii="arial" w:hAnsi="arial" w:eastAsia="arial" w:cs="arial"/>
          <w:sz w:val="28"/>
          <w:szCs w:val="28"/>
          <w:b w:val="1"/>
          <w:bCs w:val="1"/>
          <w:rtl/>
        </w:rPr>
        <w:t xml:space="preserve">خلف بن عبد الرحمن بن أحمد بن محمد، أبو المظفر الخوارزمي المولد، ثم المكي
</w:t>
      </w:r>
    </w:p>
    <w:p>
      <w:pPr/>
      <w:r>
        <w:rPr/>
        <w:t xml:space="preserve">خلف بن عبد الرحمن بن أحمد بن محمد، أبو المظفر الخوارزمي المولد، ثم المكي ولد في سنة أربع وخمسمائة، وورد مرو وتفقه بها على أبي الفضل عبد الرحمن الكرماني.</w:t>
      </w:r>
    </w:p>
    <w:p/>
    <w:p>
      <w:pPr/>
      <w:r>
        <w:rPr/>
        <w:t xml:space="preserve">قال ابن النجار: قدم بغداد حاجا، سنة ستين وخمسمائة، وحدث بها.</w:t>
      </w:r>
    </w:p>
    <w:p/>
    <w:p>
      <w:pPr/>
      <w:r>
        <w:rPr/>
        <w:t xml:space="preserve">وذكر عن أبي سعد أنه لقيه بخوارزم، وأنه قدم عليه مرو، سنة إحدى وستين، فعقد المجلس في الجامع، وأنه حضر مجلسه.</w:t>
      </w:r>
    </w:p>
    <w:p/>
    <w:p>
      <w:pPr/>
      <w:r>
        <w:rPr/>
        <w:t xml:space="preserve">قال أبو سعد: وكان كثير النكت والفوائد.</w:t>
      </w:r>
    </w:p>
    <w:p/>
    <w:p>
      <w:pPr/>
      <w:r>
        <w:rPr/>
        <w:t xml:space="preserve">قال الذهبي: ذكر القاضي عمر بن علي الدبيثي، أنه قدم بغداد سنة أربع وستين وخمسمائة.</w:t>
      </w:r>
    </w:p>
    <w:p>
      <w:pPr>
        <w:jc w:val="start"/>
        <w:bidi/>
      </w:pPr>
      <w:r>
        <w:rPr>
          <w:sz w:val="24"/>
          <w:szCs w:val="24"/>
          <w:b w:val="1"/>
          <w:bCs w:val="1"/>
          <w:rtl/>
        </w:rPr>
        <w:t xml:space="preserve">
الطبقات السنية في تراجم الحنفية،(دار الرفاعي - الرياض،1983،ط 0،ج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الرحمن بن أحمد بن محمد المكي الخوارزمي أبو المظفر
</w:t>
      </w:r>
    </w:p>
    <w:p>
      <w:pPr/>
      <w:r>
        <w:rPr/>
        <w:t xml:space="preserve">خلف بن عبد الرحمن بن أحمد بن محمد المكي الخوارزمي، أبو المظفر: </w:t>
      </w:r>
    </w:p>
    <w:p/>
    <w:p>
      <w:pPr/>
      <w:r>
        <w:rPr/>
        <w:t xml:space="preserve">ولد بخوارزم في سنة أربع وخمسمائة، وورد مرو، وتفقه بها على أبي الفضل</w:t>
      </w:r>
    </w:p>
    <w:p/>
    <w:p>
      <w:pPr/>
      <w:r>
        <w:rPr/>
        <w:t xml:space="preserve">عبد الرحمن الكرمانى، ثم وعظ بجامعها في سنة إحدى وستين، وكان كثير النكت والفوائد، وقدم بغداد في سنة ستين حاجا، ثم قدمها في سنة أربع وستين.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العزيز المروزي
</w:t>
      </w:r>
    </w:p>
    <w:p>
      <w:pPr/>
      <w:r>
        <w:rPr/>
        <w:t xml:space="preserve">خلف بن عبد العزيز المروزي </w:t>
      </w:r>
    </w:p>
    <w:p/>
    <w:p>
      <w:pPr/>
      <w:r>
        <w:rPr/>
        <w:t xml:space="preserve">ابن أخي عبدان وهو ابن عبد العزيز بن عثمان بن جبلة بن أبي رواد روى عن عثمان بن جبلة بن أبي رواد عن شعبة وعن أبيه عن جده عن شعبة روى عنه أحمد بن سهل أبو حامد الإسفرائيني الأعور.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2026-07-27T10:34:37+03:00</dcterms:created>
  <dcterms:modified xsi:type="dcterms:W3CDTF">2026-07-27T10:34:37+03:00</dcterms:modified>
</cp:coreProperties>
</file>

<file path=docProps/custom.xml><?xml version="1.0" encoding="utf-8"?>
<Properties xmlns="http://schemas.openxmlformats.org/officeDocument/2006/custom-properties" xmlns:vt="http://schemas.openxmlformats.org/officeDocument/2006/docPropsVTypes"/>
</file>