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كمال القوجوي، الرومي
</w:t>
      </w:r>
    </w:p>
    <w:p>
      <w:pPr>
        <w:jc w:val="start"/>
        <w:bidi/>
      </w:pPr>
      <w:r>
        <w:rPr>
          <w:rFonts w:ascii="arial" w:hAnsi="arial" w:eastAsia="arial" w:cs="arial"/>
          <w:sz w:val="28"/>
          <w:szCs w:val="28"/>
          <w:b w:val="1"/>
          <w:bCs w:val="1"/>
          <w:rtl/>
        </w:rPr>
        <w:t xml:space="preserve">داود بن كمال القوجوي، الرومي
</w:t>
      </w:r>
    </w:p>
    <w:p>
      <w:pPr/>
      <w:r>
        <w:rPr/>
        <w:t xml:space="preserve">داود بن كمال القوجوي، الرومي أخذ عن المولى لطفي، وابن المؤيد، وابن الحاج حسن، وغيرهم.</w:t>
      </w:r>
    </w:p>
    <w:p/>
    <w:p>
      <w:pPr/>
      <w:r>
        <w:rPr/>
        <w:t xml:space="preserve">وصار مدرسا بعدة مدارس؛ منها إحدى الثمان.</w:t>
      </w:r>
    </w:p>
    <w:p/>
    <w:p>
      <w:pPr/>
      <w:r>
        <w:rPr/>
        <w:t xml:space="preserve">وولي قضاء بروسة مرتين.</w:t>
      </w:r>
    </w:p>
    <w:p/>
    <w:p>
      <w:pPr/>
      <w:r>
        <w:rPr/>
        <w:t xml:space="preserve">وكان من خيار الناس علما، وعملا، واتباعا للحق.</w:t>
      </w:r>
    </w:p>
    <w:p/>
    <w:p>
      <w:pPr/>
      <w:r>
        <w:rPr/>
        <w:t xml:space="preserve">وكانت وفاته بعد الأربعين والتسعمائة، تغمده الله تعالى برحمته.</w:t>
      </w:r>
    </w:p>
    <w:p>
      <w:pPr>
        <w:jc w:val="start"/>
        <w:bidi/>
      </w:pPr>
      <w:r>
        <w:rPr>
          <w:sz w:val="24"/>
          <w:szCs w:val="24"/>
          <w:b w:val="1"/>
          <w:bCs w:val="1"/>
          <w:rtl/>
        </w:rPr>
        <w:t xml:space="preserve">
الطبقات السنية في تراجم الحنفية،(دار الرفاعي - الرياض،1983،ط 0،ج 1،ص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كمال
</w:t>
      </w:r>
    </w:p>
    <w:p>
      <w:pPr/>
      <w:r>
        <w:rPr/>
        <w:t xml:space="preserve">داود بن كمال داود بن كمال، المولى الشيخ العالم الكامل أحد موالي الروم قال في الشقائق: كان عالما فاضلا ذكيا مدققا، وكانت له يد طولى في العلوم، وكان كريم الطبع، مراعيا للحقوق، قوالا بالحق لا يخاف في الله لومة لائم، ثم اشتغل في طلب العلم حتى توصل إلى خدمة المولى الفاضل بن الحاج حسن، ثم انتقل إلى خدمة المولى ابن المؤيد، ثم ولي التدريس، ثم صار قاضيا بمدينة بروسا مرتين، ثم اختار التقاعد فعين له كل يوم مئة درهم عثماني، ومات على ذلك في سنة أربعين وتسعمئة، ولم يشتغل بالتصنيف لضعف مزاجه.</w:t>
      </w:r>
    </w:p>
    <w:p>
      <w:pPr>
        <w:jc w:val="start"/>
        <w:bidi/>
      </w:pPr>
      <w:r>
        <w:rPr>
          <w:sz w:val="24"/>
          <w:szCs w:val="24"/>
          <w:b w:val="1"/>
          <w:bCs w:val="1"/>
          <w:rtl/>
        </w:rPr>
        <w:t xml:space="preserve">
الكواكب السائرة بأعيان المئة العاشرة،(دار الكتب العلمية - بيروت،1977،ط 1،ج 2،ص 142)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2026-07-27T12:17:06+03:00</dcterms:created>
  <dcterms:modified xsi:type="dcterms:W3CDTF">2026-07-27T12:17:06+03:00</dcterms:modified>
</cp:coreProperties>
</file>

<file path=docProps/custom.xml><?xml version="1.0" encoding="utf-8"?>
<Properties xmlns="http://schemas.openxmlformats.org/officeDocument/2006/custom-properties" xmlns:vt="http://schemas.openxmlformats.org/officeDocument/2006/docPropsVTypes"/>
</file>