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القاسم الشهرزوري القاضي محيى الدين ابن القاضي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القاسم الشهرزوري القاضي محيى الدين ابن القاضي كمال الدين
</w:t>
      </w:r>
    </w:p>
    <w:p>
      <w:pPr/>
      <w:r>
        <w:rPr/>
        <w:t xml:space="preserve">أحمد بن محمد بن عبد الله بن القاسم الشهرزوري القاضي محيى الدين ابن القاضي كمال الدين ولد بالموصل سنة سبع وعشرين وخمسمائة</w:t>
      </w:r>
    </w:p>
    <w:p/>
    <w:p>
      <w:pPr/>
      <w:r>
        <w:rPr/>
        <w:t xml:space="preserve">وولى القضاء بها</w:t>
      </w:r>
    </w:p>
    <w:p/>
    <w:p>
      <w:pPr/>
      <w:r>
        <w:rPr/>
        <w:t xml:space="preserve">وتوفي في ذي القعدة سنة ثلاث وسبعين وخمسمائة</w:t>
      </w:r>
    </w:p>
    <w:p/>
    <w:p>
      <w:pPr/>
      <w:r>
        <w:rPr/>
        <w:t xml:space="preserve">ذكره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2026-07-23T18:50:41+03:00</dcterms:created>
  <dcterms:modified xsi:type="dcterms:W3CDTF">2026-07-23T18:50:41+03:00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