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عبد الله هلال بن عبد العزيز بن عبد الكريم ابن عبد الله بن حبيب أبو بكر السلمي الجبني الأطروش
</w:t>
      </w:r>
    </w:p>
    <w:p>
      <w:pPr>
        <w:jc w:val="start"/>
        <w:bidi/>
      </w:pPr>
      <w:r>
        <w:rPr>
          <w:rFonts w:ascii="arial" w:hAnsi="arial" w:eastAsia="arial" w:cs="arial"/>
          <w:sz w:val="28"/>
          <w:szCs w:val="28"/>
          <w:b w:val="1"/>
          <w:bCs w:val="1"/>
          <w:rtl/>
        </w:rPr>
        <w:t xml:space="preserve">محمد بن أحمد بن عبد الله هلال بن عبد العزيز بن عبد الكريم ابن عبد الله بن حبيب أبو بكر السلمي الجبني الأطروش
</w:t>
      </w:r>
    </w:p>
    <w:p>
      <w:pPr/>
      <w:r>
        <w:rPr/>
        <w:t xml:space="preserve">محمد بن أحمد بن عبد الله هلال بن عبد العزيز بن عبد الكريم ابن عبد الله بن حبيب أبو بكر السلمي الجبني الأطروش. شيخ القراء بدمشق.</w:t>
      </w:r>
    </w:p>
    <w:p/>
    <w:p>
      <w:pPr/>
      <w:r>
        <w:rPr/>
        <w:t xml:space="preserve">ولد سنة سبع وعشرين وثلاثمائة.</w:t>
      </w:r>
    </w:p>
    <w:p/>
    <w:p>
      <w:pPr/>
      <w:r>
        <w:rPr/>
        <w:t xml:space="preserve">أخذ القراءة عرضا عن أبيه، وابن الأخرم، وجعفر بن أبي داود، وأحمد ابن عثمان السباك، والحسين بن محمد بن علي بن عتاب، ومحمد بن أحمد ابن عتاب.</w:t>
      </w:r>
    </w:p>
    <w:p/>
    <w:p>
      <w:pPr/>
      <w:r>
        <w:rPr/>
        <w:t xml:space="preserve">أخذ القراءة عنه عرضا علي بن الحسن الربعي، ومحمد بن الحسن الشيرازي، وأحمد بن محمد بن يزده الأصبهاني، ورشاء بن نظيف، وأبو علي الأهوازي، وقال عنه في «الإيضاح»: وما خلت دمشق قط من إمام كبير في قراءة الشاميين يسافر إليه فيها، وما رأيت بها مثل أبي بكر السلمي، من ولد أبي عبد الرحمن السلمي، إماما في القراءة ضابطا للرواية، قيما بوجوه القراءات، يعرف صدرا من التفسير، ومعاني القراءات.</w:t>
      </w:r>
    </w:p>
    <w:p/>
    <w:p>
      <w:pPr/>
      <w:r>
        <w:rPr/>
        <w:t xml:space="preserve">قرأ على سبعة من أصحاب الأخفش، له منزلة في الفضل والعلم والأمانة والورع والدين والتقشف والصيانة.</w:t>
      </w:r>
    </w:p>
    <w:p/>
    <w:p>
      <w:pPr/>
      <w:r>
        <w:rPr/>
        <w:t xml:space="preserve">قال ابن الجزري في «القراء»: وكان أبوه يؤم بمسجد تل الجبن بدمشق، ولهذا قيل له الجبنى. مات في سابع ربيع الآخر سنة ثمان. وقال الأهوازي، وهو الأصح: سنة سبع وأربعمائة، ودفن خارج الباب الصغير من دمشق، وقد جاوز الثمانين.</w:t>
      </w:r>
    </w:p>
    <w:p>
      <w:pPr>
        <w:jc w:val="start"/>
        <w:bidi/>
      </w:pPr>
      <w:r>
        <w:rPr>
          <w:sz w:val="24"/>
          <w:szCs w:val="24"/>
          <w:b w:val="1"/>
          <w:bCs w:val="1"/>
          <w:rtl/>
        </w:rPr>
        <w:t xml:space="preserve">
طبقات المفسرين للداوودي،(دار الكتب العلمية - بيروت،0000،ط 0،ج 2،ص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2026-07-27T13:52:29+03:00</dcterms:created>
  <dcterms:modified xsi:type="dcterms:W3CDTF">2026-07-27T13:52:29+03:00</dcterms:modified>
</cp:coreProperties>
</file>

<file path=docProps/custom.xml><?xml version="1.0" encoding="utf-8"?>
<Properties xmlns="http://schemas.openxmlformats.org/officeDocument/2006/custom-properties" xmlns:vt="http://schemas.openxmlformats.org/officeDocument/2006/docPropsVTypes"/>
</file>