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تيم الله بن ثعلبة بن عمرو بن الخزرج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تيم الله بن ثعلبة بن عمرو بن الخزرج
</w:t>
      </w:r>
    </w:p>
    <w:p>
      <w:pPr/>
      <w:r>
        <w:rPr/>
        <w:t xml:space="preserve">تيم الله بن ثعلبة بن عمرو بن الخزرج أخبرنا وهب بن جرير بن حازم قال: أخبرني أبي قال: سمعت محمد بن سيرين يقول: إنما سمي النجار لأنه اختتن بقدوم وكان اسمه تيم الله بن ثعلبة.</w:t>
      </w:r>
    </w:p>
    <w:p/>
    <w:p>
      <w:pPr/>
      <w:r>
        <w:rPr/>
        <w:t xml:space="preserve">أخبرنا هشام بن محمد عن أبيه قال: لأنه نجر وجه رجل بقدوم.</w:t>
      </w:r>
    </w:p>
    <w:p/>
    <w:p>
      <w:pPr/>
      <w:r>
        <w:rPr/>
        <w:t xml:space="preserve">فشهد بدرا من بني النجار ثم من بني مالك بن النجار ثم من بني غنم بن مالك بن النجار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3،ص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2026-07-27T11:32:15+03:00</dcterms:created>
  <dcterms:modified xsi:type="dcterms:W3CDTF">2026-07-27T11:32:15+03:00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