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بن قيس
</w:t>
      </w:r>
    </w:p>
    <w:p>
      <w:pPr>
        <w:jc w:val="start"/>
        <w:bidi/>
      </w:pPr>
      <w:r>
        <w:rPr>
          <w:rFonts w:ascii="arial" w:hAnsi="arial" w:eastAsia="arial" w:cs="arial"/>
          <w:sz w:val="28"/>
          <w:szCs w:val="28"/>
          <w:b w:val="1"/>
          <w:bCs w:val="1"/>
          <w:rtl/>
        </w:rPr>
        <w:t xml:space="preserve">أبو بردة بن قيس
</w:t>
      </w:r>
    </w:p>
    <w:p>
      <w:pPr/>
      <w:r>
        <w:rPr/>
        <w:t xml:space="preserve">أبو بردة بن قيس بن سليم بن حضار بن حرب بن عامر بن عنز بن بكر بن عامر بن عذر بن وائل بن ناجية بن الجماهر بن الأشعر. وهو أخو أبي موسى الأشعري. أسلم وهاجر من بلاد قومه فوافق قدومه المدينة مع من هاجر من الأشعريين. ويقال كانوا خمسين رجلا. قدوم أهل السفينتين من أرض الحبشة.</w:t>
      </w:r>
    </w:p>
    <w:p/>
    <w:p>
      <w:pPr/>
      <w:r>
        <w:rPr/>
        <w:t xml:space="preserve">وروى أبو بردة بن قيس عن النبي - صلى الله عليه وسلم -</w:t>
      </w:r>
    </w:p>
    <w:p>
      <w:pPr>
        <w:jc w:val="start"/>
        <w:bidi/>
      </w:pPr>
      <w:r>
        <w:rPr>
          <w:sz w:val="24"/>
          <w:szCs w:val="24"/>
          <w:b w:val="1"/>
          <w:bCs w:val="1"/>
          <w:rtl/>
        </w:rPr>
        <w:t xml:space="preserve">
الطبقات الكبرى،(دار الكتب العلمية - بيروت،1990،ط 1،ج 4،ص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2026-07-24T16:39:54+03:00</dcterms:created>
  <dcterms:modified xsi:type="dcterms:W3CDTF">2026-07-24T16:39:54+03:00</dcterms:modified>
</cp:coreProperties>
</file>

<file path=docProps/custom.xml><?xml version="1.0" encoding="utf-8"?>
<Properties xmlns="http://schemas.openxmlformats.org/officeDocument/2006/custom-properties" xmlns:vt="http://schemas.openxmlformats.org/officeDocument/2006/docPropsVTypes"/>
</file>