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جعونة بن شعوب
</w:t>
      </w:r>
    </w:p>
    <w:p>
      <w:pPr>
        <w:jc w:val="start"/>
        <w:bidi/>
      </w:pPr>
      <w:r>
        <w:rPr>
          <w:rFonts w:ascii="arial" w:hAnsi="arial" w:eastAsia="arial" w:cs="arial"/>
          <w:sz w:val="28"/>
          <w:szCs w:val="28"/>
          <w:b w:val="1"/>
          <w:bCs w:val="1"/>
          <w:rtl/>
        </w:rPr>
        <w:t xml:space="preserve">جعونة بن شعوب
</w:t>
      </w:r>
    </w:p>
    <w:p>
      <w:pPr/>
      <w:r>
        <w:rPr/>
        <w:t xml:space="preserve">جعونة بن شعوب وهو من ولد الأسود بن عبد شمس بن مالك بن جعونة بن عويرة بن شجع بن عامر بن ليث. وشعوب امرأة من خزاعة وهي أم الأسود. وكان الأسود حليفا لأبي سفيان بن حرب وشهد معه أحدا وهو الذي أنقذه يوم أحد حين قتل حنظلة الغسيل. وسمع جعونة بن شعوب من عمر بن الخطاب.</w:t>
      </w:r>
    </w:p>
    <w:p>
      <w:pPr>
        <w:jc w:val="start"/>
        <w:bidi/>
      </w:pPr>
      <w:r>
        <w:rPr>
          <w:sz w:val="24"/>
          <w:szCs w:val="24"/>
          <w:b w:val="1"/>
          <w:bCs w:val="1"/>
          <w:rtl/>
        </w:rPr>
        <w:t xml:space="preserve">
الطبقات الكبرى،(دار الكتب العلمية - بيروت،1990،ط 1،ج 5،ص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2026-07-27T10:54:01+03:00</dcterms:created>
  <dcterms:modified xsi:type="dcterms:W3CDTF">2026-07-27T10:54:01+03:00</dcterms:modified>
</cp:coreProperties>
</file>

<file path=docProps/custom.xml><?xml version="1.0" encoding="utf-8"?>
<Properties xmlns="http://schemas.openxmlformats.org/officeDocument/2006/custom-properties" xmlns:vt="http://schemas.openxmlformats.org/officeDocument/2006/docPropsVTypes"/>
</file>