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القارئ
</w:t>
      </w:r>
    </w:p>
    <w:p>
      <w:pPr>
        <w:jc w:val="start"/>
        <w:bidi/>
      </w:pPr>
      <w:r>
        <w:rPr>
          <w:rFonts w:ascii="arial" w:hAnsi="arial" w:eastAsia="arial" w:cs="arial"/>
          <w:sz w:val="28"/>
          <w:szCs w:val="28"/>
          <w:b w:val="1"/>
          <w:bCs w:val="1"/>
          <w:rtl/>
        </w:rPr>
        <w:t xml:space="preserve">نافع القارئ
</w:t>
      </w:r>
    </w:p>
    <w:p>
      <w:pPr/>
      <w:r>
        <w:rPr/>
        <w:t xml:space="preserve">نافع القارئ  نافع بن عبد الرحمن بن أبي نعيم الليثي بالولاء المدني: احد القراء السبعة الشمهورين. كان اسود، شديد السواد، صبيح الوجه، حسن الخلق، فيه دعابة. اصله من اصبهان. اشتهر في المدينة وانتهت اليه رياسة القراءة فيها، وأقرأ الناس نيفا وسبعين سنة، وتوفى بها. </w:t>
      </w:r>
    </w:p>
    <w:p>
      <w:pPr>
        <w:jc w:val="start"/>
        <w:bidi/>
      </w:pPr>
      <w:r>
        <w:rPr>
          <w:sz w:val="24"/>
          <w:szCs w:val="24"/>
          <w:b w:val="1"/>
          <w:bCs w:val="1"/>
          <w:rtl/>
        </w:rPr>
        <w:t xml:space="preserve">
الأعلام،(دار العلم للملايين - بيروت،2002،ط 15،ج 8،ص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القارئ
</w:t>
      </w:r>
    </w:p>
    <w:p>
      <w:pPr/>
      <w:r>
        <w:rPr/>
        <w:t xml:space="preserve">نافع القارئ </w:t>
      </w:r>
    </w:p>
    <w:p/>
    <w:p>
      <w:pPr/>
      <w:r>
        <w:rPr/>
        <w:t xml:space="preserve">هو نافع بن عبد الرحمن بن أبي نعيم مولى بن شعوب حليف العباس بن عبد المطلب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2026-07-23T19:07:58+03:00</dcterms:created>
  <dcterms:modified xsi:type="dcterms:W3CDTF">2026-07-23T19:07:58+03:00</dcterms:modified>
</cp:coreProperties>
</file>

<file path=docProps/custom.xml><?xml version="1.0" encoding="utf-8"?>
<Properties xmlns="http://schemas.openxmlformats.org/officeDocument/2006/custom-properties" xmlns:vt="http://schemas.openxmlformats.org/officeDocument/2006/docPropsVTypes"/>
</file>