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الجدلي
</w:t>
      </w:r>
    </w:p>
    <w:p>
      <w:pPr>
        <w:jc w:val="start"/>
        <w:bidi/>
      </w:pPr>
      <w:r>
        <w:rPr>
          <w:rFonts w:ascii="arial" w:hAnsi="arial" w:eastAsia="arial" w:cs="arial"/>
          <w:sz w:val="28"/>
          <w:szCs w:val="28"/>
          <w:b w:val="1"/>
          <w:bCs w:val="1"/>
          <w:rtl/>
        </w:rPr>
        <w:t xml:space="preserve">أبو عبد الله الجدلي
</w:t>
      </w:r>
    </w:p>
    <w:p>
      <w:pPr/>
      <w:r>
        <w:rPr/>
        <w:t xml:space="preserve">أبو عبد الله الجدلي. واسمه عبدة بن عبد بن عبد الله بن أبي يعمر بن حبيب ابن عائذ بن مالك بن وائلة بن عمرو بن ناج بن يشكر بن عدوان. واسمه الحارث بن عمرو بن قيس بن عيلان بن مضر. وسمي الحارث عدوان لأنه عدا على أخيه فهم بن عمرو فقتله. وأم عدوان وفهم جديلة بنت مر بن طابخة أخت تميم بن مر فنسبوا إليها. ويستضعف في حديثه. وكان شديد التشيع. ويزعمون أنه كان على شرطة المختار فوجهه إلى عبد الله بن الزبير في ثماني مائة من أهل الكوفة ليوقع بهم ويمنع محمد ابن الحنفية مما أراد به ابن الزبير.</w:t>
      </w:r>
    </w:p>
    <w:p>
      <w:pPr>
        <w:jc w:val="start"/>
        <w:bidi/>
      </w:pPr>
      <w:r>
        <w:rPr>
          <w:sz w:val="24"/>
          <w:szCs w:val="24"/>
          <w:b w:val="1"/>
          <w:bCs w:val="1"/>
          <w:rtl/>
        </w:rPr>
        <w:t xml:space="preserve">
الطبقات الكبرى،(دار الكتب العلمية - بيروت،1990،ط 1،ج 6،ص 248)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2026-07-26T20:21:08+03:00</dcterms:created>
  <dcterms:modified xsi:type="dcterms:W3CDTF">2026-07-26T20:21:08+03:00</dcterms:modified>
</cp:coreProperties>
</file>

<file path=docProps/custom.xml><?xml version="1.0" encoding="utf-8"?>
<Properties xmlns="http://schemas.openxmlformats.org/officeDocument/2006/custom-properties" xmlns:vt="http://schemas.openxmlformats.org/officeDocument/2006/docPropsVTypes"/>
</file>