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السائح
</w:t>
      </w:r>
    </w:p>
    <w:p>
      <w:pPr>
        <w:jc w:val="start"/>
        <w:bidi/>
      </w:pPr>
      <w:r>
        <w:rPr>
          <w:rFonts w:ascii="arial" w:hAnsi="arial" w:eastAsia="arial" w:cs="arial"/>
          <w:sz w:val="28"/>
          <w:szCs w:val="28"/>
          <w:b w:val="1"/>
          <w:bCs w:val="1"/>
          <w:rtl/>
        </w:rPr>
        <w:t xml:space="preserve">النعمان السائح
</w:t>
      </w:r>
    </w:p>
    <w:p>
      <w:pPr/>
      <w:r>
        <w:rPr/>
        <w:t xml:space="preserve">النعمان السائح  النعمان ابن امرئ القيس بن عمرو اللخمى: ملك الحيرة من قبل الفرس، في الجاهلية. وليها بعد موت أبيه (نحو 403 م) وكان شجاعا وكثير الغارات، داهية، رفيع الذكر. يعرف بالأعور السائح. غزا الشام مرارا بتحريض الفرس. وهو باني القصرين الشهيرين (الخور نق) و (السدير) ويقال له فارس حليمة. طال عمره، وزهد عند اكتماله، واستعاض عن رداء الملك بقباء النسك، وانصرف سائحا في البلاد، فانقطع خبره، بعد أن حكم نحوا من ثلاثين سنة. </w:t>
      </w:r>
    </w:p>
    <w:p>
      <w:pPr>
        <w:jc w:val="start"/>
        <w:bidi/>
      </w:pPr>
      <w:r>
        <w:rPr>
          <w:sz w:val="24"/>
          <w:szCs w:val="24"/>
          <w:b w:val="1"/>
          <w:bCs w:val="1"/>
          <w:rtl/>
        </w:rPr>
        <w:t xml:space="preserve">
الأعلام،(دار العلم للملايين - بيروت،2002،ط 15،ج 8،ص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2026-07-23T18:06:38+03:00</dcterms:created>
  <dcterms:modified xsi:type="dcterms:W3CDTF">2026-07-23T18:06:38+03:00</dcterms:modified>
</cp:coreProperties>
</file>

<file path=docProps/custom.xml><?xml version="1.0" encoding="utf-8"?>
<Properties xmlns="http://schemas.openxmlformats.org/officeDocument/2006/custom-properties" xmlns:vt="http://schemas.openxmlformats.org/officeDocument/2006/docPropsVTypes"/>
</file>