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 بن عمرو
</w:t>
      </w:r>
    </w:p>
    <w:p>
      <w:pPr/>
      <w:r>
        <w:rPr/>
        <w:t xml:space="preserve">نفيل بن عمرو  نفيل بن عمرو بن كلاب، من بنى عامر ابن صعصعة: جد جاهلى. كان لبنيه شرف في الجاهلية وإسلام. قال القطامى:</w:t>
      </w:r>
    </w:p>
    <w:p/>
    <w:p>
      <w:pPr>
        <w:jc w:val="center"/>
      </w:pPr>
      <w:r>
        <w:rPr>
          <w:color w:val="ff0000"/>
        </w:rPr>
        <w:t xml:space="preserve">من البيض الوجوه بنى نفيل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أبت أخلاقهم إلا ارتفاعا</w:t>
      </w:r>
    </w:p>
    <w:p/>
    <w:p>
      <w:pPr/>
      <w:r>
        <w:rPr/>
        <w:t xml:space="preserve">منهم خويلد بن نفيل (قال ابن حزم: كان سيدا، يطعم بعكاظ) وزفر بن حارث (القائم بالجزيرة أيام مروان) ويزيد بن عمرو بن الصعق (الشاعر) ومسلم بن سعيد ابن أسلم (ولى خراسان، هو وأبوه قبله).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2026-07-26T02:19:41+03:00</dcterms:created>
  <dcterms:modified xsi:type="dcterms:W3CDTF">2026-07-26T02:19:41+03:00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