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واسمه الخطاب
</w:t>
      </w:r>
    </w:p>
    <w:p>
      <w:pPr>
        <w:jc w:val="start"/>
        <w:bidi/>
      </w:pPr>
      <w:r>
        <w:rPr>
          <w:rFonts w:ascii="arial" w:hAnsi="arial" w:eastAsia="arial" w:cs="arial"/>
          <w:sz w:val="28"/>
          <w:szCs w:val="28"/>
          <w:b w:val="1"/>
          <w:bCs w:val="1"/>
          <w:rtl/>
        </w:rPr>
        <w:t xml:space="preserve">أبو عمرو واسمه الخطاب
</w:t>
      </w:r>
    </w:p>
    <w:p>
      <w:pPr/>
      <w:r>
        <w:rPr/>
        <w:t xml:space="preserve">أبو عمرو واسمه الخطاب. بن عثمان بن سليم بن مهاجر الفوزي الحمصي. إمام مسجد المحررين. وكان سليم بن مهاجر يكنى أبا فوره وهو مولى لطيئ. روى عن إسماعيل بن عياش ومحمد بن حميد.</w:t>
      </w:r>
    </w:p>
    <w:p>
      <w:pPr>
        <w:jc w:val="start"/>
        <w:bidi/>
      </w:pPr>
      <w:r>
        <w:rPr>
          <w:sz w:val="24"/>
          <w:szCs w:val="24"/>
          <w:b w:val="1"/>
          <w:bCs w:val="1"/>
          <w:rtl/>
        </w:rPr>
        <w:t xml:space="preserve">
الطبقات الكبرى،(دار الكتب العلمية - بيروت،1990،ط 1،ج 7،ص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2026-07-27T13:16:43+03:00</dcterms:created>
  <dcterms:modified xsi:type="dcterms:W3CDTF">2026-07-27T13:16:43+03:00</dcterms:modified>
</cp:coreProperties>
</file>

<file path=docProps/custom.xml><?xml version="1.0" encoding="utf-8"?>
<Properties xmlns="http://schemas.openxmlformats.org/officeDocument/2006/custom-properties" xmlns:vt="http://schemas.openxmlformats.org/officeDocument/2006/docPropsVTypes"/>
</file>