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الهجري
</w:t>
      </w:r>
    </w:p>
    <w:p>
      <w:pPr>
        <w:jc w:val="start"/>
        <w:bidi/>
      </w:pPr>
      <w:r>
        <w:rPr>
          <w:rFonts w:ascii="arial" w:hAnsi="arial" w:eastAsia="arial" w:cs="arial"/>
          <w:sz w:val="28"/>
          <w:szCs w:val="28"/>
          <w:b w:val="1"/>
          <w:bCs w:val="1"/>
          <w:rtl/>
        </w:rPr>
        <w:t xml:space="preserve">الهجري
</w:t>
      </w:r>
    </w:p>
    <w:p>
      <w:pPr/>
      <w:r>
        <w:rPr/>
        <w:t xml:space="preserve">الهجري  هارون بن زكريا، أبو علي الهجري: عالم بالادب وببلدان الجزيرة العربية. كان مؤدب أولاد طاهر بن يحيى بن الحسن الحسيني الطالبي بمكة. ويرجح أنه من هجر (الاحساء) سكن مكة واجتمع فيها بالهمداني (صاحب الاكليل) وببعض علماء الاندلس (سنة 288) واستقر في المدينة. له كتاب ’’ التعليقات والنوادر - خ ’’ قطعتان كبيرتان منه، مهيأتان للطبع في الهند، وجزء منه في دار الكتب (6553) سماه صاحب كشف الظنون ’’ النوادر المفيدة ’’ وللشيخ حمد الجاسر ’’ أبو علي الهجري وأبحاثه في تحديد المواضع - ط ’’ دراسة واسعة له ولكتابه.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الهجري
</w:t>
      </w:r>
    </w:p>
    <w:p>
      <w:pPr/>
      <w:r>
        <w:rPr/>
        <w:t xml:space="preserve">الهجري هارون بن زكريا الهجري أبو علي، صاحب كتاب النوادر المفيدة، وبعض يسميها الآمالي، روى عنه ثابت بن حزم السرقسطي، ولقيه قاسم بن ثابت بالمغرب ولقيه غيرهما بالمشرق.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2026-07-23T05:26:27+03:00</dcterms:created>
  <dcterms:modified xsi:type="dcterms:W3CDTF">2026-07-23T05:26:27+03:00</dcterms:modified>
</cp:coreProperties>
</file>

<file path=docProps/custom.xml><?xml version="1.0" encoding="utf-8"?>
<Properties xmlns="http://schemas.openxmlformats.org/officeDocument/2006/custom-properties" xmlns:vt="http://schemas.openxmlformats.org/officeDocument/2006/docPropsVTypes"/>
</file>