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الرحيم بن يحبش التازي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الرحيم بن يحبش التازي
</w:t>
      </w:r>
    </w:p>
    <w:p>
      <w:pPr/>
      <w:r>
        <w:rPr/>
        <w:t xml:space="preserve">محمد بن عبد الرحيم بن يحبش التازي الفقيه الأديب الناظم النائر، أبو عبد الله. كان فقيها عروضيا نحويا.</w:t>
      </w:r>
    </w:p>
    <w:p/>
    <w:p>
      <w:pPr/>
      <w:r>
        <w:rPr/>
        <w:t xml:space="preserve">وله منفرجة مطلعها:</w:t>
      </w:r>
    </w:p>
    <w:p/>
    <w:p>
      <w:pPr>
        <w:jc w:val="center"/>
      </w:pPr>
      <w:r>
        <w:rPr>
          <w:color w:val="ff0000"/>
        </w:rPr>
        <w:t xml:space="preserve">اشتدى أذية تنفرجي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مد أبدل ضيقك بالفرج</w:t>
      </w:r>
    </w:p>
    <w:p/>
    <w:p>
      <w:pPr>
        <w:jc w:val="center"/>
      </w:pPr>
      <w:r>
        <w:rPr>
          <w:color w:val="ff0000"/>
        </w:rPr>
        <w:t xml:space="preserve">مهما اشتدت بك نازلة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فاصبر فعسى التفريج يجي</w:t>
      </w:r>
    </w:p>
    <w:p/>
    <w:p>
      <w:pPr>
        <w:jc w:val="center"/>
      </w:pPr>
      <w:r>
        <w:rPr>
          <w:color w:val="ff0000"/>
        </w:rPr>
        <w:t xml:space="preserve">مولاك أرغب فإجابته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للمضطرين على درج</w:t>
      </w:r>
    </w:p>
    <w:p/>
    <w:p>
      <w:pPr>
        <w:jc w:val="center"/>
      </w:pPr>
      <w:r>
        <w:rPr>
          <w:color w:val="ff0000"/>
        </w:rPr>
        <w:t xml:space="preserve">وألح عليه بمسألة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فهو الجواد فسل وهج</w:t>
      </w:r>
    </w:p>
    <w:p/>
    <w:p>
      <w:pPr>
        <w:jc w:val="center"/>
      </w:pPr>
      <w:r>
        <w:rPr>
          <w:color w:val="ff0000"/>
        </w:rPr>
        <w:t xml:space="preserve">أخلص فيما تدعوه وقل</w:t>
      </w:r>
      <w:r>
        <w:rPr>
          <w:color w:val="ff0000"/>
        </w:rPr>
        <w:t xml:space="preserve">      </w:t>
      </w:r>
      <w:r>
        <w:rPr>
          <w:color w:val="ff0000"/>
        </w:rPr>
        <w:t xml:space="preserve">بشر مسرى وأزل خرجي</w:t>
      </w:r>
    </w:p>
    <w:p/>
    <w:p>
      <w:pPr>
        <w:jc w:val="center"/>
      </w:pPr>
      <w:r>
        <w:rPr>
          <w:color w:val="ff0000"/>
        </w:rPr>
        <w:t xml:space="preserve">لا حيلة لي، لا قوة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بك يا محيي المهج</w:t>
      </w:r>
    </w:p>
    <w:p/>
    <w:p>
      <w:pPr/>
      <w:r>
        <w:rPr/>
        <w:t xml:space="preserve">إلى آخره</w:t>
      </w:r>
    </w:p>
    <w:p/>
    <w:p>
      <w:pPr/>
      <w:r>
        <w:rPr/>
        <w:t xml:space="preserve">توفي سنة 920</w:t>
      </w:r>
    </w:p>
    <w:p/>
    <w:p>
      <w:pPr/>
      <w:r>
        <w:rPr/>
        <w:t xml:space="preserve">أفادني بوفاته ولده أبو عبد الله، وناولني القضية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2026-07-27T11:32:08+03:00</dcterms:created>
  <dcterms:modified xsi:type="dcterms:W3CDTF">2026-07-27T11:32:08+03:00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