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علي بن محمد البغدادي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علي بن محمد البغدادي
</w:t>
      </w:r>
    </w:p>
    <w:p>
      <w:pPr/>
      <w:r>
        <w:rPr/>
        <w:t xml:space="preserve">علي بن محمد البغدادي أخذ عن ابن المغلس أبو الحسن</w:t>
      </w:r>
    </w:p>
    <w:p/>
    <w:p>
      <w:pPr/>
      <w:r>
        <w:rPr/>
        <w:t xml:space="preserve">وغلام أعتقه محمد بن صالح المنصوري، أخذ عنه ببغداد ثم عاد إلى المنصورة.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طبقات الفقهاء / للشيرازي،(دار الرائد العربي - بيروت،1970،ط 1،ج 1،ص 177)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2026-07-27T06:02:04+03:00</dcterms:created>
  <dcterms:modified xsi:type="dcterms:W3CDTF">2026-07-27T06:02:04+03:00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