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بركات
</w:t>
      </w:r>
    </w:p>
    <w:p>
      <w:pPr>
        <w:jc w:val="start"/>
        <w:bidi/>
      </w:pPr>
      <w:r>
        <w:rPr>
          <w:rFonts w:ascii="arial" w:hAnsi="arial" w:eastAsia="arial" w:cs="arial"/>
          <w:sz w:val="28"/>
          <w:szCs w:val="28"/>
          <w:b w:val="1"/>
          <w:bCs w:val="1"/>
          <w:rtl/>
        </w:rPr>
        <w:t xml:space="preserve">يحيى بن بركات
</w:t>
      </w:r>
    </w:p>
    <w:p>
      <w:pPr/>
      <w:r>
        <w:rPr/>
        <w:t xml:space="preserve">يحيى بن بركات  يحيى بن بركات بن محمد بن إبراهيم ابن بركات بن أبي نمى: شريف حسني، من أمراء مكة. ولد بها، وسكن الشام مدة، ووجهت إليه رتبة الوزارة ولقب (باشا) وإمارة الحج الشامي (سنة 1130 هـ) فعاد إلى مكة في الحج، فولى إمارتها في السنة نفسها باتفاق الأشراف. واستمر إلى سنة 1132 فاختلف مع الأشراف، فأقيم مكانه الشريف مبارك بن أحمد، وتوجه صاحب الترجمة إلى بلاد الترك (سنة 1133) وعاد يحمل تقليدا سلطانيا بولايته الإمارة (سنة 1134) ونازعه الأشراف نزاعا طويلا، فنزل عن الإمارة إلى ابنه بركات سنة 1135 وتوفي على أثر ذلك. </w:t>
      </w:r>
    </w:p>
    <w:p>
      <w:pPr>
        <w:jc w:val="start"/>
        <w:bidi/>
      </w:pPr>
      <w:r>
        <w:rPr>
          <w:sz w:val="24"/>
          <w:szCs w:val="24"/>
          <w:b w:val="1"/>
          <w:bCs w:val="1"/>
          <w:rtl/>
        </w:rPr>
        <w:t xml:space="preserve">
الأعلام،(دار العلم للملايين - بيروت،2002،ط 15،ج 8،ص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2026-07-23T19:45:12+03:00</dcterms:created>
  <dcterms:modified xsi:type="dcterms:W3CDTF">2026-07-23T19:45:12+03:00</dcterms:modified>
</cp:coreProperties>
</file>

<file path=docProps/custom.xml><?xml version="1.0" encoding="utf-8"?>
<Properties xmlns="http://schemas.openxmlformats.org/officeDocument/2006/custom-properties" xmlns:vt="http://schemas.openxmlformats.org/officeDocument/2006/docPropsVTypes"/>
</file>