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نهالي بن عبد الله
</w:t>
      </w:r>
    </w:p>
    <w:p>
      <w:pPr>
        <w:jc w:val="start"/>
        <w:bidi/>
      </w:pPr>
      <w:r>
        <w:rPr>
          <w:rFonts w:ascii="arial" w:hAnsi="arial" w:eastAsia="arial" w:cs="arial"/>
          <w:sz w:val="28"/>
          <w:szCs w:val="28"/>
          <w:b w:val="1"/>
          <w:bCs w:val="1"/>
          <w:rtl/>
        </w:rPr>
        <w:t xml:space="preserve">نهالي بن عبد الله
</w:t>
      </w:r>
    </w:p>
    <w:p>
      <w:pPr/>
      <w:r>
        <w:rPr/>
        <w:t xml:space="preserve">نهالي بن عبد الله نهالي بن عبد الله: نهالي بن عبد الله المولى الفاضل، الشهير بهذا اللقب. قال في الشقائق: ولم نعرف اسمه. كان عتيقا لبعض الأكابر. وقرأ في صغره مبادئ العلوم، ثم خدم العلماء، وفاق على أقرانه، ومهر في العربية والأصول والتفسير، وكان له نظم بالعربية</w:t>
      </w:r>
    </w:p>
    <w:p/>
    <w:p>
      <w:pPr/>
      <w:r>
        <w:rPr/>
        <w:t xml:space="preserve">والتركية والفارسية، ووصل إلى خدمة المولى محمد بن الحاج حسن، ودرس بالمدرسة التي بناها المولى المذكور بالقسطنطينية، ثم بأسحلقيه أسكوب، ثم بمدرسة مصطفى باشا بالقسطنطينية، ثم فرغ عن التدريس، وسافر إلى الحج، فلما أتم الحج مرض فعاهد الله تعالى إن صح من مرضه لم يعاود التدريس، وندم على ما مضى من عمره في الاشتغال بغير الله تعالى، فأدركته المنية في مرضه ذلك، فتوفي بمكة المشرفة، ودفن بها في سنة خمس أو ست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2026-07-27T03:59:57+03:00</dcterms:created>
  <dcterms:modified xsi:type="dcterms:W3CDTF">2026-07-27T03:59:57+03:00</dcterms:modified>
</cp:coreProperties>
</file>

<file path=docProps/custom.xml><?xml version="1.0" encoding="utf-8"?>
<Properties xmlns="http://schemas.openxmlformats.org/officeDocument/2006/custom-properties" xmlns:vt="http://schemas.openxmlformats.org/officeDocument/2006/docPropsVTypes"/>
</file>