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مبارك عبد الله الحبشي
</w:t>
      </w:r>
    </w:p>
    <w:p>
      <w:pPr>
        <w:jc w:val="start"/>
        <w:bidi/>
      </w:pPr>
      <w:r>
        <w:rPr>
          <w:rFonts w:ascii="arial" w:hAnsi="arial" w:eastAsia="arial" w:cs="arial"/>
          <w:sz w:val="28"/>
          <w:szCs w:val="28"/>
          <w:b w:val="1"/>
          <w:bCs w:val="1"/>
          <w:rtl/>
        </w:rPr>
        <w:t xml:space="preserve">مبارك عبد الله الحبشي
</w:t>
      </w:r>
    </w:p>
    <w:p>
      <w:pPr/>
      <w:r>
        <w:rPr/>
        <w:t xml:space="preserve">مبارك عبد الله الحبشي مبارك عبد الله الحبشي، الدمشقي، ثم القابوني الشافعي، الشيخ الصالح المربي. ذكر ابن طولون في التمتع بالأقران أن ابن المبرد ذكره في رياضه فقال الشيخ مبارك: ظهر في سنة سبع وتسعين- بتقديم السين الأولى وتأخيرها في الثاني- وثمانمئة، وصار له مريدون، وأمر بالمعروف، ونهى عن المنكر من إراقة الخمور وغيرها بعد ما أبطل ذلك، وقام على الأتراك، وقاموا عليه، وذكر ابن طولون في مفاكهة الإخوان أن الشيخ مبارك قرأ في غاية الإختصار على الشيخ شيخ الإسلام تقي الدين ابن قاضي عجلون، وبنى له زاوية بالقرب من القابون التحتاني، وأقام هو وجماعته بها يرصدون الطريق على نقلة الخمر، فيقطعون ظروفها ويريقونها، فبلغ الحكام ذلك، فقبض النائب على بعض جماعة الشيخ، وحبسهم في سجن باب البريد، فنزل الشيخ مبارك ليشفع فيهم، فأمر النائب بوضعه في الحبس معهم، فبلغ الخبر إلى الشيخ تقي الدين ابن قاضي عجلون، فأرسل وشفع فيه، فأطلق، ثم هجم بقية جماعة الشيخ مبارك على السجن، وكسروا بابه، وأخرجوا من فيه من رفاقهم، فبلغ النائب، فأرسل جماعة من مماليكه، فقتل منهم نحو سبعين نفسا عند باب البريد والعنبرانية، وقرب الجامع الأموي، ثم ترك الشيخ مبارك ذلك، ولازم حضور الزوايا كزاوية الشيخ أبي بكر بن داود بالسفح، ووقت سيدي سعد بن عبادة بالمنيحة، وحكي أن الشيخ مبارك كان شديد السواد، عظيم الخلقة، له همة علية، وشدة بأس، وقوة وكان له معرفة تامة بالنغمة، والصيد يسرح إلى الصيد هو وفقراؤه ومريدوه، ومعهم قسي البندق إلى جهة المرج، وكان يصطاد الحمام والأوز والكراكي وغير ذلك، وحكي أنه كان كسر مرة بندقة نصفين، واصطاد في كل نصف طائرا عظيما، وكان عارفا بالسباحة، وكان يغوص في تيار الماء، ثم يخرج منه وبين أصابع يديه وأصابع رجليه السمك، وروي أنه حج ومعه جماعة من أصحابه، فلما دخل مكة فرغت نفقتهم فقال الشيخ لبعض أصحابه: خذ بيدي إلى السوق، واقبض ثمني، وأصرفه على بقية الجماعة، ففعل ذلك، واشتراه بعض تجار العجم، ثم أعتقه قال ابن طولون، والشيخ مبارك: هو الذي أحدث اللهجة في الذكر قال: وحقيقتها أنهم يذكرون إلى أن يقتصروا من الجلالة على الهمزة والهاء لكنهم يبدلون الهاء حاء مهملة، فيقول: إح إح، وكانت وفاته يوم الخميس مستهل ربيع الأول سنة أربع وأربعين وتسعمئة، ودفن بتربة القابون التحتاني.</w:t>
      </w:r>
    </w:p>
    <w:p>
      <w:pPr>
        <w:jc w:val="start"/>
        <w:bidi/>
      </w:pPr>
      <w:r>
        <w:rPr>
          <w:sz w:val="24"/>
          <w:szCs w:val="24"/>
          <w:b w:val="1"/>
          <w:bCs w:val="1"/>
          <w:rtl/>
        </w:rPr>
        <w:t xml:space="preserve">
الكواكب السائرة بأعيان المئة العاشرة،(دار الكتب العلمية - بيروت،1977،ط 1،ج 2،ص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2026-07-27T14:23:58+03:00</dcterms:created>
  <dcterms:modified xsi:type="dcterms:W3CDTF">2026-07-27T14:23:58+03:00</dcterms:modified>
</cp:coreProperties>
</file>

<file path=docProps/custom.xml><?xml version="1.0" encoding="utf-8"?>
<Properties xmlns="http://schemas.openxmlformats.org/officeDocument/2006/custom-properties" xmlns:vt="http://schemas.openxmlformats.org/officeDocument/2006/docPropsVTypes"/>
</file>