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العسكري الحنبلي
</w:t>
      </w:r>
    </w:p>
    <w:p>
      <w:pPr>
        <w:jc w:val="start"/>
        <w:bidi/>
      </w:pPr>
      <w:r>
        <w:rPr>
          <w:rFonts w:ascii="arial" w:hAnsi="arial" w:eastAsia="arial" w:cs="arial"/>
          <w:sz w:val="28"/>
          <w:szCs w:val="28"/>
          <w:b w:val="1"/>
          <w:bCs w:val="1"/>
          <w:rtl/>
        </w:rPr>
        <w:t xml:space="preserve">عبد الوهاب العسكري الحنبلي
</w:t>
      </w:r>
    </w:p>
    <w:p>
      <w:pPr/>
      <w:r>
        <w:rPr/>
        <w:t xml:space="preserve">عبد الوهاب العسكري الحنبلي عبد الوهاب بن محمد العسكري الحنبلي. كان له مشاركة في العلم، وكان له قراءة حديث بالجامع الأموي، وكان يقرأ في صحيح البخاري في الثلاثة الأشهر بين الصلاتين عند باب العنبرانية قراءة حسنة مجردة عن الدراية والتقرير، وكان له جزء بالأموي، ولما مات السيد حسين ابن السيد كمال الدين بن حمزة تزوج زوجته، وأحسن تربية ولديه السيد زين العابدين، والسيد محمد، وأقرأهما في بدايات العلم وكان قريبا منه في الفضيلة. ولما ولي تولية الجامع الأموي حسن جاويش، المعروف بشويريزي حسن. أخذ يحرض الناس على المباشرة، فجاء الشيخ عبد الوهاب يوما لقبض علوفته منه في المصرف، فقال له: أنا لا أعطيك العلوفة لأنك لم تباشر، فقام الشيخ عبد الوهاب من المجلس مغتاظا، ومرض ومات في حدود الألف عن نحو سبعين سنة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2026-07-27T14:07:17+03:00</dcterms:created>
  <dcterms:modified xsi:type="dcterms:W3CDTF">2026-07-27T14:07:17+03:00</dcterms:modified>
</cp:coreProperties>
</file>

<file path=docProps/custom.xml><?xml version="1.0" encoding="utf-8"?>
<Properties xmlns="http://schemas.openxmlformats.org/officeDocument/2006/custom-properties" xmlns:vt="http://schemas.openxmlformats.org/officeDocument/2006/docPropsVTypes"/>
</file>