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w:t>
      </w:r>
    </w:p>
    <w:p>
      <w:pPr>
        <w:jc w:val="start"/>
        <w:bidi/>
      </w:pPr>
      <w:r>
        <w:rPr>
          <w:rFonts w:ascii="arial" w:hAnsi="arial" w:eastAsia="arial" w:cs="arial"/>
          <w:sz w:val="28"/>
          <w:szCs w:val="28"/>
          <w:b w:val="1"/>
          <w:bCs w:val="1"/>
          <w:rtl/>
        </w:rPr>
        <w:t xml:space="preserve">الأنصاري
</w:t>
      </w:r>
    </w:p>
    <w:p>
      <w:pPr/>
      <w:r>
        <w:rPr/>
        <w:t xml:space="preserve">الأنصاري  أحمد بن نور الأنصاري: قاض شافعي، من عرب الأنصار، من أهل الخليج العربي. ولد في ’’ نابند’’ في الخليج، وانتقل (سنة 1230) مع أبيه إلى البصرة. وعين فيها (1243) مدرسا في المدرسة السليمانية. ثم قاضيا إلى أن توفي. من كتبه ’’ النصرة في أخبار البصرة - ط) رسالة نشرت في المجلدين 17 و 18 من مجلة المجمع العلمي العراقي ببغداد و (مساجد البصرة - خ) رسالة، في العباسية (1: 50) وله شروح وتعليقات على بعض المتون في فقه الشافعية، مخطوطة في مكتبة باش أعيان، بالبصرة. وكان يعاني النظم. وللشاعر عبد الغفار الأخرس قصيدتان في مدحه. </w:t>
      </w:r>
    </w:p>
    <w:p>
      <w:pPr>
        <w:jc w:val="start"/>
        <w:bidi/>
      </w:pPr>
      <w:r>
        <w:rPr>
          <w:sz w:val="24"/>
          <w:szCs w:val="24"/>
          <w:b w:val="1"/>
          <w:bCs w:val="1"/>
          <w:rtl/>
        </w:rPr>
        <w:t xml:space="preserve">
الأعلام،(دار العلم للملايين - بيروت،2002،ط 15،ج 1،ص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2026-07-25T17:02:25+03:00</dcterms:created>
  <dcterms:modified xsi:type="dcterms:W3CDTF">2026-07-25T17:02:25+03:00</dcterms:modified>
</cp:coreProperties>
</file>

<file path=docProps/custom.xml><?xml version="1.0" encoding="utf-8"?>
<Properties xmlns="http://schemas.openxmlformats.org/officeDocument/2006/custom-properties" xmlns:vt="http://schemas.openxmlformats.org/officeDocument/2006/docPropsVTypes"/>
</file>