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مطروح
</w:t>
      </w:r>
    </w:p>
    <w:p>
      <w:pPr>
        <w:jc w:val="start"/>
        <w:bidi/>
      </w:pPr>
      <w:r>
        <w:rPr>
          <w:rFonts w:ascii="arial" w:hAnsi="arial" w:eastAsia="arial" w:cs="arial"/>
          <w:sz w:val="28"/>
          <w:szCs w:val="28"/>
          <w:b w:val="1"/>
          <w:bCs w:val="1"/>
          <w:rtl/>
        </w:rPr>
        <w:t xml:space="preserve">ابن مطروح
</w:t>
      </w:r>
    </w:p>
    <w:p>
      <w:pPr/>
      <w:r>
        <w:rPr/>
        <w:t xml:space="preserve">ابن مطروح  يحيى بن عيسى بن إبراهيم، جمال الدين، ابن مطروح: شاعر أديب مصرى. ولد بأسيوط، وتوفى بالقاهرة. خدم الملك الصالح أيوب، وتنقل معه فى البلاد، فأقامه الصالح ناظرا على الخزانة بمصر (سنة 639) ثم نقله إلى دمشق. واستمر فى الأعمال السلطانية إلى أن مات الملك الصالح، فعاد إلى مصر. وأعرض عنه خلفاء الصالح، فأقام مخمولا- كما يقول سبط بن الجوزى- إلى أن مات. له (ديوان شعر -ط). </w:t>
      </w:r>
    </w:p>
    <w:p>
      <w:pPr>
        <w:jc w:val="start"/>
        <w:bidi/>
      </w:pPr>
      <w:r>
        <w:rPr>
          <w:sz w:val="24"/>
          <w:szCs w:val="24"/>
          <w:b w:val="1"/>
          <w:bCs w:val="1"/>
          <w:rtl/>
        </w:rPr>
        <w:t xml:space="preserve">
الأعلام،(دار العلم للملايين - بيروت،2002،ط 15،ج 8،ص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مطروح
</w:t>
      </w:r>
    </w:p>
    <w:p>
      <w:pPr/>
      <w:r>
        <w:rPr/>
        <w:t xml:space="preserve">ابن مطروح اسمه: يحيى بن عيسى</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مطروح
</w:t>
      </w:r>
    </w:p>
    <w:p>
      <w:pPr/>
      <w:r>
        <w:rPr/>
        <w:t xml:space="preserve">ابن مطروح الصاحب جمال الدين يحيى بن عيسى.</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مطروح
</w:t>
      </w:r>
    </w:p>
    <w:p>
      <w:pPr/>
      <w:r>
        <w:rPr/>
        <w:t xml:space="preserve">ابن مطروح الإمام الكبير صاحب النظم الفائق، جمال الدين يحيى بن عيسى بن إبراهيم بن الحسين ابن مطروح الصعيدي.</w:t>
      </w:r>
    </w:p>
    <w:p/>
    <w:p>
      <w:pPr/>
      <w:r>
        <w:rPr/>
        <w:t xml:space="preserve">خدم مع الملك الصالح نجم الدين بآمد وحران وحصن كيفا، فلما تسلطن بمصر، ولاه نظر الخزانة، ثم وزر له بدمشق، ثم عزله وتغير عليه. وله ’’ديوان’’ مشهور.</w:t>
      </w:r>
    </w:p>
    <w:p/>
    <w:p>
      <w:pPr/>
      <w:r>
        <w:rPr/>
        <w:t xml:space="preserve">توفي في شعبان سنة تسع وأربعين وست مائة، وقد قارب الستين.</w:t>
      </w:r>
    </w:p>
    <w:p/>
    <w:p>
      <w:pPr/>
      <w:r>
        <w:rPr/>
        <w:t xml:space="preserve">الموفق، الشاري: </w:t>
      </w:r>
    </w:p>
    <w:p>
      <w:pPr>
        <w:jc w:val="start"/>
        <w:bidi/>
      </w:pPr>
      <w:r>
        <w:rPr>
          <w:sz w:val="24"/>
          <w:szCs w:val="24"/>
          <w:b w:val="1"/>
          <w:bCs w:val="1"/>
          <w:rtl/>
        </w:rPr>
        <w:t xml:space="preserve">
سير أعلام النبلاء،(دار الحديث- القاهرة،2006،ط 0،ج 16،ص 435)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2026-07-27T09:05:30+03:00</dcterms:created>
  <dcterms:modified xsi:type="dcterms:W3CDTF">2026-07-27T09:05:30+03:00</dcterms:modified>
</cp:coreProperties>
</file>

<file path=docProps/custom.xml><?xml version="1.0" encoding="utf-8"?>
<Properties xmlns="http://schemas.openxmlformats.org/officeDocument/2006/custom-properties" xmlns:vt="http://schemas.openxmlformats.org/officeDocument/2006/docPropsVTypes"/>
</file>