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مغلباي
</w:t>
      </w:r>
    </w:p>
    <w:p>
      <w:pPr>
        <w:jc w:val="start"/>
        <w:bidi/>
      </w:pPr>
      <w:r>
        <w:rPr>
          <w:rFonts w:ascii="arial" w:hAnsi="arial" w:eastAsia="arial" w:cs="arial"/>
          <w:sz w:val="28"/>
          <w:szCs w:val="28"/>
          <w:b w:val="1"/>
          <w:bCs w:val="1"/>
          <w:rtl/>
        </w:rPr>
        <w:t xml:space="preserve">أحمد مغلباي
</w:t>
      </w:r>
    </w:p>
    <w:p>
      <w:pPr/>
      <w:r>
        <w:rPr/>
        <w:t xml:space="preserve">أحمد مغلباي أحمد بن أبي الغيث الشهير بمغلباي الحنفي المدني خطيب المدينة المنورة وابن خطيبها الشيخ الفاضل العامل الكامل ولد بالمدينة المنورة سنة سبعين وألف ونشأ بها وأخذ عن أفاضلها وأم بالمسجد الشريف النبوي وخطب به ودرس وأنتفعت به الطلبة وله من التآليف نظم عقيدة السنوسي الصغرى وشرحها وتوفى بالمدينة المنورة سنة أربع وثلاثين ومائة وألف ودفن بالبقيع</w:t>
      </w:r>
    </w:p>
    <w:p>
      <w:pPr>
        <w:jc w:val="start"/>
        <w:bidi/>
      </w:pPr>
      <w:r>
        <w:rPr>
          <w:sz w:val="24"/>
          <w:szCs w:val="24"/>
          <w:b w:val="1"/>
          <w:bCs w:val="1"/>
          <w:rtl/>
        </w:rPr>
        <w:t xml:space="preserve">
سلك الدرر في أعيان القرن الثاني عشر،(دار البشائر الإسلامية / دار ابن حزم،1988،ط 3،ج 1،ص 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2026-07-27T08:39:50+03:00</dcterms:created>
  <dcterms:modified xsi:type="dcterms:W3CDTF">2026-07-27T08:39:50+03:00</dcterms:modified>
</cp:coreProperties>
</file>

<file path=docProps/custom.xml><?xml version="1.0" encoding="utf-8"?>
<Properties xmlns="http://schemas.openxmlformats.org/officeDocument/2006/custom-properties" xmlns:vt="http://schemas.openxmlformats.org/officeDocument/2006/docPropsVTypes"/>
</file>