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طباطبا
</w:t>
      </w:r>
    </w:p>
    <w:p>
      <w:pPr>
        <w:jc w:val="start"/>
        <w:bidi/>
      </w:pPr>
      <w:r>
        <w:rPr>
          <w:rFonts w:ascii="arial" w:hAnsi="arial" w:eastAsia="arial" w:cs="arial"/>
          <w:sz w:val="28"/>
          <w:szCs w:val="28"/>
          <w:b w:val="1"/>
          <w:bCs w:val="1"/>
          <w:rtl/>
        </w:rPr>
        <w:t xml:space="preserve">ابن طباطبا
</w:t>
      </w:r>
    </w:p>
    <w:p>
      <w:pPr/>
      <w:r>
        <w:rPr/>
        <w:t xml:space="preserve">ابن طباطبا يحيى بن محمد بن القاسم بن محمد بن طباطبا العلوى الحسنى، أبو المعمر: نسابة: متكلم، من فضلاء الشيعة. من أهل بغداد. نقل ابن حجر أنه انتهت إليه معرفة أنساب الطالبيين فى وقته. وقال الأنبارى: رأيت له مصنفا حسنا فى (صنعة الشعر) وكان شارعرا. وقال ابن الجوزى: كان ينزل بالبركة من ربع الكرخ وكان مجمعا لظراف الطالبيين وعلمائهم وشعرائهم. وجزم ابن الجزوى وابن تغرى بردى بأنه مات عقيما، لم يعقب. وقالا إنه آخر من بقى من أولاد طباطبا بالعراق. قلت: وفى هذا نظر، ففى العراق وإيران، اليوم، عدد غير قليل من الطباطبائيين؟.</w:t>
      </w:r>
    </w:p>
    <w:p>
      <w:pPr>
        <w:jc w:val="start"/>
        <w:bidi/>
      </w:pPr>
      <w:r>
        <w:rPr>
          <w:sz w:val="24"/>
          <w:szCs w:val="24"/>
          <w:b w:val="1"/>
          <w:bCs w:val="1"/>
          <w:rtl/>
        </w:rPr>
        <w:t xml:space="preserve">
الأعلام،(دار العلم للملايين - بيروت،2002،ط 15،ج 8،ص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طباطبا العلوي
</w:t>
      </w:r>
    </w:p>
    <w:p>
      <w:pPr/>
      <w:r>
        <w:rPr/>
        <w:t xml:space="preserve">يحيى بن محمد بن طباطبا العلوي هو الشريف أبو المعمر النحوي، توفي في رمضان سنة 478.</w:t>
      </w:r>
    </w:p>
    <w:p/>
    <w:p>
      <w:pPr/>
      <w:r>
        <w:rPr/>
        <w:t xml:space="preserve">كان نحويا أديبا فاضلا تحلم مع ابن برهان في العلم، أخذ عن علي بن عيسى الربعي وأبي القاسم الثمانيني وعنه أبو السعادات هبة الله بن الشجري وكان يفتخر به، وله شعر كثير منه:</w:t>
      </w:r>
    </w:p>
    <w:p/>
    <w:p>
      <w:pPr>
        <w:jc w:val="center"/>
      </w:pPr>
      <w:r>
        <w:rPr>
          <w:color w:val="ff0000"/>
        </w:rPr>
        <w:t xml:space="preserve">لي صاحب لا غاب عني شخصه</w:t>
      </w:r>
      <w:r>
        <w:rPr>
          <w:color w:val="ff0000"/>
        </w:rPr>
        <w:t xml:space="preserve">      </w:t>
      </w:r>
      <w:r>
        <w:rPr>
          <w:color w:val="ff0000"/>
        </w:rPr>
        <w:t xml:space="preserve">أبدا وظلت ممتعا بوجوده </w:t>
      </w:r>
    </w:p>
    <w:p/>
    <w:p>
      <w:pPr>
        <w:jc w:val="center"/>
      </w:pPr>
      <w:r>
        <w:rPr>
          <w:color w:val="ff0000"/>
        </w:rPr>
        <w:t xml:space="preserve">فطن بما يوحى إليه كأنما</w:t>
      </w:r>
      <w:r>
        <w:rPr>
          <w:color w:val="ff0000"/>
        </w:rPr>
        <w:t xml:space="preserve">      </w:t>
      </w:r>
      <w:r>
        <w:rPr>
          <w:color w:val="ff0000"/>
        </w:rPr>
        <w:t xml:space="preserve">قد نيط هاجس فكرتي بفؤاده </w:t>
      </w:r>
    </w:p>
    <w:p/>
    <w:p>
      <w:pPr/>
      <w:r>
        <w:rPr/>
        <w:t xml:space="preserve">وله أيضا:</w:t>
      </w:r>
    </w:p>
    <w:p/>
    <w:p>
      <w:pPr>
        <w:jc w:val="center"/>
      </w:pPr>
      <w:r>
        <w:rPr>
          <w:color w:val="ff0000"/>
        </w:rPr>
        <w:t xml:space="preserve">حسود مريض القلب يخفي أنينه</w:t>
      </w:r>
      <w:r>
        <w:rPr>
          <w:color w:val="ff0000"/>
        </w:rPr>
        <w:t xml:space="preserve">      </w:t>
      </w:r>
      <w:r>
        <w:rPr>
          <w:color w:val="ff0000"/>
        </w:rPr>
        <w:t xml:space="preserve">ويضحي كئيب القلب عندي حزينة</w:t>
      </w:r>
    </w:p>
    <w:p/>
    <w:p>
      <w:pPr>
        <w:jc w:val="center"/>
      </w:pPr>
      <w:r>
        <w:rPr>
          <w:color w:val="ff0000"/>
        </w:rPr>
        <w:t xml:space="preserve">يلوم على أن رحت في العلم راغبا</w:t>
      </w:r>
      <w:r>
        <w:rPr>
          <w:color w:val="ff0000"/>
        </w:rPr>
        <w:t xml:space="preserve">      </w:t>
      </w:r>
      <w:r>
        <w:rPr>
          <w:color w:val="ff0000"/>
        </w:rPr>
        <w:t xml:space="preserve">أحصل من عند الرواة فنونه</w:t>
      </w:r>
    </w:p>
    <w:p/>
    <w:p>
      <w:pPr>
        <w:jc w:val="center"/>
      </w:pPr>
      <w:r>
        <w:rPr>
          <w:color w:val="ff0000"/>
        </w:rPr>
        <w:t xml:space="preserve">فأعرف أبكار الكلام وعونه</w:t>
      </w:r>
      <w:r>
        <w:rPr>
          <w:color w:val="ff0000"/>
        </w:rPr>
        <w:t xml:space="preserve">      </w:t>
      </w:r>
      <w:r>
        <w:rPr>
          <w:color w:val="ff0000"/>
        </w:rPr>
        <w:t xml:space="preserve">وأحفظ مما أستفيد عيونه</w:t>
      </w:r>
    </w:p>
    <w:p/>
    <w:p>
      <w:pPr>
        <w:jc w:val="center"/>
      </w:pPr>
      <w:r>
        <w:rPr>
          <w:color w:val="ff0000"/>
        </w:rPr>
        <w:t xml:space="preserve">ويزعم أن العلم لا يجلب الغنى</w:t>
      </w:r>
      <w:r>
        <w:rPr>
          <w:color w:val="ff0000"/>
        </w:rPr>
        <w:t xml:space="preserve">      </w:t>
      </w:r>
      <w:r>
        <w:rPr>
          <w:color w:val="ff0000"/>
        </w:rPr>
        <w:t xml:space="preserve">ويحسن بالجهل الذميم ظنونه</w:t>
      </w:r>
    </w:p>
    <w:p/>
    <w:p>
      <w:pPr>
        <w:jc w:val="center"/>
      </w:pPr>
      <w:r>
        <w:rPr>
          <w:color w:val="ff0000"/>
        </w:rPr>
        <w:t xml:space="preserve">فيا لائمي دعني أغالي بقيمتي</w:t>
      </w:r>
      <w:r>
        <w:rPr>
          <w:color w:val="ff0000"/>
        </w:rPr>
        <w:t xml:space="preserve">      </w:t>
      </w:r>
      <w:r>
        <w:rPr>
          <w:color w:val="ff0000"/>
        </w:rPr>
        <w:t xml:space="preserve">فقيمة كل الناس ما يحسنونه</w:t>
      </w:r>
    </w:p>
    <w:p/>
    <w:p>
      <w:pPr>
        <w:jc w:val="start"/>
        <w:bidi/>
      </w:pPr>
      <w:r>
        <w:rPr>
          <w:sz w:val="24"/>
          <w:szCs w:val="24"/>
          <w:b w:val="1"/>
          <w:bCs w:val="1"/>
          <w:rtl/>
        </w:rPr>
        <w:t xml:space="preserve">
أعيان الشيعة،(دار التعارف للمطبوعات - بيروت،1983،ط 1،ج 10،ص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وقيل أبو المعز يحيى بن محمد
</w:t>
      </w:r>
    </w:p>
    <w:p>
      <w:pPr/>
      <w:r>
        <w:rPr/>
        <w:t xml:space="preserve">أبو محمد وقيل أبو المعز يحيى بن محمد ابن طباطبا العلوي النحوي</w:t>
      </w:r>
    </w:p>
    <w:p/>
    <w:p>
      <w:pPr/>
      <w:r>
        <w:rPr/>
        <w:t xml:space="preserve">توفي في رمضان سنة 478 نص على تشيعه السيوطي.</w:t>
      </w:r>
    </w:p>
    <w:p/>
    <w:p>
      <w:pPr/>
      <w:r>
        <w:rPr/>
        <w:t xml:space="preserve">له (1) كتاب الأصول (2) كتاب الفرائض (3) الإيضاح في المسح على الخفين (4) كتاب الإمامة.</w:t>
      </w:r>
    </w:p>
    <w:p>
      <w:pPr>
        <w:jc w:val="start"/>
        <w:bidi/>
      </w:pPr>
      <w:r>
        <w:rPr>
          <w:sz w:val="24"/>
          <w:szCs w:val="24"/>
          <w:b w:val="1"/>
          <w:bCs w:val="1"/>
          <w:rtl/>
        </w:rPr>
        <w:t xml:space="preserve">
أعيان الشيعة،(دار التعارف للمطبوعات - بيروت،1983،ط 1،ج 10،ص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w:t>
      </w:r>
    </w:p>
    <w:p>
      <w:pPr/>
      <w:r>
        <w:rPr/>
        <w:t xml:space="preserve">ابن طباطبا يحيى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الشريف أبو المعمر ابن طباطبا العلوي
</w:t>
      </w:r>
    </w:p>
    <w:p>
      <w:pPr/>
      <w:r>
        <w:rPr/>
        <w:t xml:space="preserve">يحيى بن محمد الشريف أبو المعمر ابن طباطبا العلوي: كان نحويا أديبا</w:t>
      </w:r>
    </w:p>
    <w:p/>
    <w:p>
      <w:pPr/>
      <w:r>
        <w:rPr/>
        <w:t xml:space="preserve">فاضلا يتكلم مع ابن برهان في هذا العلم، أخذ عن علي بن عيسى الربعي وأبي القاسم الثمانيني، وعنه أبو السعادات هبة الله بن الشجري، وكان يفتخر به.</w:t>
      </w:r>
    </w:p>
    <w:p/>
    <w:p>
      <w:pPr/>
      <w:r>
        <w:rPr/>
        <w:t xml:space="preserve">مات في رمضان سنة ثمان وسبعين وأربعمائة.</w:t>
      </w:r>
    </w:p>
    <w:p/>
    <w:p>
      <w:pPr/>
      <w:r>
        <w:rPr/>
        <w:t xml:space="preserve">ومن شعره:</w:t>
      </w:r>
    </w:p>
    <w:p/>
    <w:p>
      <w:pPr>
        <w:jc w:val="center"/>
      </w:pPr>
      <w:r>
        <w:rPr>
          <w:color w:val="ff0000"/>
        </w:rPr>
        <w:t xml:space="preserve">لي صاحب لا غاب عني شخصه</w:t>
      </w:r>
      <w:r>
        <w:rPr>
          <w:color w:val="ff0000"/>
        </w:rPr>
        <w:t xml:space="preserve">      </w:t>
      </w:r>
      <w:r>
        <w:rPr>
          <w:color w:val="ff0000"/>
        </w:rPr>
        <w:t xml:space="preserve">أبدا وظلت ممتعا بوداده</w:t>
      </w:r>
    </w:p>
    <w:p/>
    <w:p>
      <w:pPr>
        <w:jc w:val="center"/>
      </w:pPr>
      <w:r>
        <w:rPr>
          <w:color w:val="ff0000"/>
        </w:rPr>
        <w:t xml:space="preserve">فطن بما يوحى إليه كأنما</w:t>
      </w:r>
      <w:r>
        <w:rPr>
          <w:color w:val="ff0000"/>
        </w:rPr>
        <w:t xml:space="preserve">      </w:t>
      </w:r>
      <w:r>
        <w:rPr>
          <w:color w:val="ff0000"/>
        </w:rPr>
        <w:t xml:space="preserve">قد نيط هاجس فكرتي بفؤاده</w:t>
      </w:r>
    </w:p>
    <w:p/>
    <w:p>
      <w:pPr/>
      <w:r>
        <w:rPr/>
        <w:t xml:space="preserve">وقال:</w:t>
      </w:r>
    </w:p>
    <w:p/>
    <w:p>
      <w:pPr>
        <w:jc w:val="center"/>
      </w:pPr>
      <w:r>
        <w:rPr>
          <w:color w:val="ff0000"/>
        </w:rPr>
        <w:t xml:space="preserve">حسود مريض القلب يخفي أنينه</w:t>
      </w:r>
      <w:r>
        <w:rPr>
          <w:color w:val="ff0000"/>
        </w:rPr>
        <w:t xml:space="preserve">      </w:t>
      </w:r>
      <w:r>
        <w:rPr>
          <w:color w:val="ff0000"/>
        </w:rPr>
        <w:t xml:space="preserve">ويضحي كئيب القلب عندي حزينه</w:t>
      </w:r>
    </w:p>
    <w:p/>
    <w:p>
      <w:pPr>
        <w:jc w:val="center"/>
      </w:pPr>
      <w:r>
        <w:rPr>
          <w:color w:val="ff0000"/>
        </w:rPr>
        <w:t xml:space="preserve">يلوم على أن رحت في العلم راغبا</w:t>
      </w:r>
      <w:r>
        <w:rPr>
          <w:color w:val="ff0000"/>
        </w:rPr>
        <w:t xml:space="preserve">      </w:t>
      </w:r>
      <w:r>
        <w:rPr>
          <w:color w:val="ff0000"/>
        </w:rPr>
        <w:t xml:space="preserve">أحصل من عند الرواة فنونه</w:t>
      </w:r>
    </w:p>
    <w:p/>
    <w:p>
      <w:pPr>
        <w:jc w:val="center"/>
      </w:pPr>
      <w:r>
        <w:rPr>
          <w:color w:val="ff0000"/>
        </w:rPr>
        <w:t xml:space="preserve">فأعرف أبكار الكلام وعونه</w:t>
      </w:r>
      <w:r>
        <w:rPr>
          <w:color w:val="ff0000"/>
        </w:rPr>
        <w:t xml:space="preserve">      </w:t>
      </w:r>
      <w:r>
        <w:rPr>
          <w:color w:val="ff0000"/>
        </w:rPr>
        <w:t xml:space="preserve">وأحفظ مما أستفيد عيونه</w:t>
      </w:r>
    </w:p>
    <w:p/>
    <w:p>
      <w:pPr>
        <w:jc w:val="center"/>
      </w:pPr>
      <w:r>
        <w:rPr>
          <w:color w:val="ff0000"/>
        </w:rPr>
        <w:t xml:space="preserve">ويزعم أن العلم لا يجلب الغنى</w:t>
      </w:r>
      <w:r>
        <w:rPr>
          <w:color w:val="ff0000"/>
        </w:rPr>
        <w:t xml:space="preserve">      </w:t>
      </w:r>
      <w:r>
        <w:rPr>
          <w:color w:val="ff0000"/>
        </w:rPr>
        <w:t xml:space="preserve">ويحسن بالجهل الذميم ظنونه</w:t>
      </w:r>
    </w:p>
    <w:p/>
    <w:p>
      <w:pPr>
        <w:jc w:val="center"/>
      </w:pPr>
      <w:r>
        <w:rPr>
          <w:color w:val="ff0000"/>
        </w:rPr>
        <w:t xml:space="preserve">فيا لائمي دعني أغالي بقيمتي</w:t>
      </w:r>
      <w:r>
        <w:rPr>
          <w:color w:val="ff0000"/>
        </w:rPr>
        <w:t xml:space="preserve">      </w:t>
      </w:r>
      <w:r>
        <w:rPr>
          <w:color w:val="ff0000"/>
        </w:rPr>
        <w:t xml:space="preserve">فقيمة كل الناس ما يحسنونه</w:t>
      </w:r>
    </w:p>
    <w:p/>
    <w:p>
      <w:pPr>
        <w:jc w:val="start"/>
        <w:bidi/>
      </w:pPr>
      <w:r>
        <w:rPr>
          <w:sz w:val="24"/>
          <w:szCs w:val="24"/>
          <w:b w:val="1"/>
          <w:bCs w:val="1"/>
          <w:rtl/>
        </w:rPr>
        <w:t xml:space="preserve">
معجم الأدباء / إرشاد الأريب إلى معرفة الأديب،(دار الغرب الإسلامي - بيروت،1993،ط 0،ج 6،ص 2828)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w:t>
      </w:r>
    </w:p>
    <w:p>
      <w:pPr/>
      <w:r>
        <w:rPr/>
        <w:t xml:space="preserve">ابن طباطبا </w:t>
      </w:r>
    </w:p>
    <w:p/>
    <w:p>
      <w:pPr/>
      <w:r>
        <w:rPr/>
        <w:t xml:space="preserve">يحي بن محمد بن طباطبا العلوي الحسنب. م سنة 478 هـ.</w:t>
      </w:r>
    </w:p>
    <w:p/>
    <w:p>
      <w:pPr/>
      <w:r>
        <w:rPr/>
        <w:t xml:space="preserve">انتهت إليه معرفة أنساب الطالبيين في وقته، وكان إمام المذهب.</w:t>
      </w:r>
    </w:p>
    <w:p>
      <w:pPr>
        <w:jc w:val="start"/>
        <w:bidi/>
      </w:pPr>
      <w:r>
        <w:rPr>
          <w:sz w:val="24"/>
          <w:szCs w:val="24"/>
          <w:b w:val="1"/>
          <w:bCs w:val="1"/>
          <w:rtl/>
        </w:rPr>
        <w:t xml:space="preserve">
طبقات النسابين،(دار الرشد، الرياض،1987،ط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طباطبا العلوي
</w:t>
      </w:r>
    </w:p>
    <w:p>
      <w:pPr/>
      <w:r>
        <w:rPr/>
        <w:t xml:space="preserve">يحيى طباطبا العلوي </w:t>
      </w:r>
    </w:p>
    <w:p/>
    <w:p>
      <w:pPr/>
      <w:r>
        <w:rPr/>
        <w:t xml:space="preserve">وأما الشريف أبو المعمر يحيى بن طباطبا العلوي، فإنه كان من أهل الأدب والسؤدد، وإليه انتهت معرفة نسب الطالبين في وقته.</w:t>
      </w:r>
    </w:p>
    <w:p/>
    <w:p>
      <w:pPr/>
      <w:r>
        <w:rPr/>
        <w:t xml:space="preserve">وأخذ عن علي بن عيسى الربعي وعن أبي القاسم الثمانيني، وأخذ عنه شيخنا الشريف أبو السعادات هبة الله بن علي بن محمد بن حمزة العلوي الحسني المعروف بابن الشجري.</w:t>
      </w:r>
    </w:p>
    <w:p/>
    <w:p>
      <w:pPr/>
      <w:r>
        <w:rPr/>
        <w:t xml:space="preserve">وكان ابن طباطبا عالماً بالشعر، ورأيت له في صنعة الشعر مصنفاً حسناً. وكان شاعراً مجيداً، فمن شعره في الحث على طلب العلم:</w:t>
      </w:r>
    </w:p>
    <w:p/>
    <w:p>
      <w:pPr>
        <w:jc w:val="center"/>
      </w:pPr>
      <w:r>
        <w:rPr>
          <w:color w:val="ff0000"/>
        </w:rPr>
        <w:t xml:space="preserve">حسود مريض القلب يخفي أنينه</w:t>
      </w:r>
      <w:r>
        <w:rPr>
          <w:color w:val="ff0000"/>
        </w:rPr>
        <w:t xml:space="preserve">      </w:t>
      </w:r>
      <w:r>
        <w:rPr>
          <w:color w:val="ff0000"/>
        </w:rPr>
        <w:t xml:space="preserve">ويضحى كئيب القلب عندي حزينه</w:t>
      </w:r>
    </w:p>
    <w:p/>
    <w:p>
      <w:pPr>
        <w:jc w:val="center"/>
      </w:pPr>
      <w:r>
        <w:rPr>
          <w:color w:val="ff0000"/>
        </w:rPr>
        <w:t xml:space="preserve">يلوى على أن رحت في العلم راغباً</w:t>
      </w:r>
      <w:r>
        <w:rPr>
          <w:color w:val="ff0000"/>
        </w:rPr>
        <w:t xml:space="preserve">      </w:t>
      </w:r>
      <w:r>
        <w:rPr>
          <w:color w:val="ff0000"/>
        </w:rPr>
        <w:t xml:space="preserve">أجمع من عند الرواة فنونه</w:t>
      </w:r>
    </w:p>
    <w:p/>
    <w:p>
      <w:pPr>
        <w:jc w:val="center"/>
      </w:pPr>
      <w:r>
        <w:rPr>
          <w:color w:val="ff0000"/>
        </w:rPr>
        <w:t xml:space="preserve">فأعرف أبكار الكلام وعونه</w:t>
      </w:r>
      <w:r>
        <w:rPr>
          <w:color w:val="ff0000"/>
        </w:rPr>
        <w:t xml:space="preserve">      </w:t>
      </w:r>
      <w:r>
        <w:rPr>
          <w:color w:val="ff0000"/>
        </w:rPr>
        <w:t xml:space="preserve">وأحفظ مما أستفيد عيونه</w:t>
      </w:r>
    </w:p>
    <w:p/>
    <w:p>
      <w:pPr>
        <w:jc w:val="center"/>
      </w:pPr>
      <w:r>
        <w:rPr>
          <w:color w:val="ff0000"/>
        </w:rPr>
        <w:t xml:space="preserve">ويزعم أن العلم لا يجلب الغنى</w:t>
      </w:r>
      <w:r>
        <w:rPr>
          <w:color w:val="ff0000"/>
        </w:rPr>
        <w:t xml:space="preserve">      </w:t>
      </w:r>
      <w:r>
        <w:rPr>
          <w:color w:val="ff0000"/>
        </w:rPr>
        <w:t xml:space="preserve">ويحسن بالجهل الذميم ظنونه</w:t>
      </w:r>
    </w:p>
    <w:p/>
    <w:p>
      <w:pPr>
        <w:jc w:val="center"/>
      </w:pPr>
      <w:r>
        <w:rPr>
          <w:color w:val="ff0000"/>
        </w:rPr>
        <w:t xml:space="preserve">فيا لائمي دعني أغالي بقيمتي</w:t>
      </w:r>
      <w:r>
        <w:rPr>
          <w:color w:val="ff0000"/>
        </w:rPr>
        <w:t xml:space="preserve">      </w:t>
      </w:r>
      <w:r>
        <w:rPr>
          <w:color w:val="ff0000"/>
        </w:rPr>
        <w:t xml:space="preserve">فقيمة كل الناس ما يحسنونه</w:t>
      </w:r>
    </w:p>
    <w:p/>
    <w:p>
      <w:pPr/>
      <w:r>
        <w:rPr/>
        <w:t xml:space="preserve">توفي في شهر رمضان، سنة ثمان وسبعين وأربعمائة، في خلافة المقتدى بأمر الله تعالى.</w:t>
      </w:r>
    </w:p>
    <w:p>
      <w:pPr>
        <w:jc w:val="start"/>
        <w:bidi/>
      </w:pPr>
      <w:r>
        <w:rPr>
          <w:sz w:val="24"/>
          <w:szCs w:val="24"/>
          <w:b w:val="1"/>
          <w:bCs w:val="1"/>
          <w:rtl/>
        </w:rPr>
        <w:t xml:space="preserve">
نزهة الألباء في طبقات الأدباء،(مكتبة المنار، الزرقاء - الأردن،1985،ط 3،ج 1،ص 269)/(دار الفكر العربي،1998،ط 1،ج 1،ص 319)/(مطبعة المعارف - بغداد،1959،ط 1،ج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2026-07-27T14:02:43+03:00</dcterms:created>
  <dcterms:modified xsi:type="dcterms:W3CDTF">2026-07-27T14:02:43+03:00</dcterms:modified>
</cp:coreProperties>
</file>

<file path=docProps/custom.xml><?xml version="1.0" encoding="utf-8"?>
<Properties xmlns="http://schemas.openxmlformats.org/officeDocument/2006/custom-properties" xmlns:vt="http://schemas.openxmlformats.org/officeDocument/2006/docPropsVTypes"/>
</file>