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الكرماني
</w:t>
      </w:r>
    </w:p>
    <w:p>
      <w:pPr>
        <w:jc w:val="start"/>
        <w:bidi/>
      </w:pPr>
      <w:r>
        <w:rPr>
          <w:rFonts w:ascii="arial" w:hAnsi="arial" w:eastAsia="arial" w:cs="arial"/>
          <w:sz w:val="28"/>
          <w:szCs w:val="28"/>
          <w:b w:val="1"/>
          <w:bCs w:val="1"/>
          <w:rtl/>
        </w:rPr>
        <w:t xml:space="preserve">ابن الكرماني
</w:t>
      </w:r>
    </w:p>
    <w:p>
      <w:pPr/>
      <w:r>
        <w:rPr/>
        <w:t xml:space="preserve">ابن الكرماني  يحيى بن محمد بن يوسف السعيدى، تقى الدين ابن الكرمانى: باحث، له علم بالطب والحديث. قال المقريزى: كان فاضلا فى عدة فنون. نسبته الأولى (سعيد ابن زيد) أحد الصحابة العشرة. وأصله من كرمان، ومولده ببغداد. ووفاته بالقاهرة. ولى بها نظر المرستان المنصورى. له كتاب فى (الطب) لعله (المختصر من خواص أبى العلاء ابن زهر -خ) أتمه فى صفد سنة 810 و (مختصر صحيح مسلم) فى الحديث، و (مختصر تاريخ مكة للأزرقى -خ) و (مجمع البحرين وجواهر الحبرين) فى شرح البخارى. ثمانية أجزاء كبار، رآه حاجى خليفة، بخطه؛ و (المختصر فى أخبار مصر) وله نظم ونثر. </w:t>
      </w:r>
    </w:p>
    <w:p>
      <w:pPr>
        <w:jc w:val="start"/>
        <w:bidi/>
      </w:pPr>
      <w:r>
        <w:rPr>
          <w:sz w:val="24"/>
          <w:szCs w:val="24"/>
          <w:b w:val="1"/>
          <w:bCs w:val="1"/>
          <w:rtl/>
        </w:rPr>
        <w:t xml:space="preserve">
الأعلام،(دار العلم للملايين - بيروت،2002،ط 15،ج 8،ص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2026-07-27T10:05:14+03:00</dcterms:created>
  <dcterms:modified xsi:type="dcterms:W3CDTF">2026-07-27T10:05:14+03:00</dcterms:modified>
</cp:coreProperties>
</file>

<file path=docProps/custom.xml><?xml version="1.0" encoding="utf-8"?>
<Properties xmlns="http://schemas.openxmlformats.org/officeDocument/2006/custom-properties" xmlns:vt="http://schemas.openxmlformats.org/officeDocument/2006/docPropsVTypes"/>
</file>