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محمد بن عبد الله بن هبيرة أبو الرضى النسفي ثم البغدادي
</w:t>
      </w:r>
    </w:p>
    <w:p>
      <w:pPr>
        <w:jc w:val="start"/>
        <w:bidi/>
      </w:pPr>
      <w:r>
        <w:rPr>
          <w:rFonts w:ascii="arial" w:hAnsi="arial" w:eastAsia="arial" w:cs="arial"/>
          <w:sz w:val="28"/>
          <w:szCs w:val="28"/>
          <w:b w:val="1"/>
          <w:bCs w:val="1"/>
          <w:rtl/>
        </w:rPr>
        <w:t xml:space="preserve">محمد بن الحسين بن محمد بن عبد الله بن هبيرة أبو الرضى النسفي ثم البغدادي
</w:t>
      </w:r>
    </w:p>
    <w:p>
      <w:pPr/>
      <w:r>
        <w:rPr/>
        <w:t xml:space="preserve">محمد بن الحسين بن محمد بن عبد الله بن هبيرة أبو الرضى النسفي ثم البغدادي كان صالحا فاضلا خبيرا ومؤلفا بالتفسير والنحو والأدب حدث عن طراد وابن البطر روى عنه أبو محمد بن الخشاب النحوي وغيره</w:t>
      </w:r>
    </w:p>
    <w:p/>
    <w:p>
      <w:pPr/>
      <w:r>
        <w:rPr/>
        <w:t xml:space="preserve">وتوفي في شهر المحرم سنة عشر وخمسمائة</w:t>
      </w:r>
    </w:p>
    <w:p/>
    <w:p>
      <w:pPr/>
      <w:r>
        <w:rPr/>
        <w:t xml:space="preserve"> ذكره ابن النجار</w:t>
      </w:r>
    </w:p>
    <w:p>
      <w:pPr>
        <w:jc w:val="start"/>
        <w:bidi/>
      </w:pPr>
      <w:r>
        <w:rPr>
          <w:sz w:val="24"/>
          <w:szCs w:val="24"/>
          <w:b w:val="1"/>
          <w:bCs w:val="1"/>
          <w:rtl/>
        </w:rPr>
        <w:t xml:space="preserve">
طبقات المفسرين للأدنه وي،(مكتبة العلوم والحكم - المدينة المنورة،1997،ط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2026-07-27T15:15:49+03:00</dcterms:created>
  <dcterms:modified xsi:type="dcterms:W3CDTF">2026-07-27T15:15:49+03:00</dcterms:modified>
</cp:coreProperties>
</file>

<file path=docProps/custom.xml><?xml version="1.0" encoding="utf-8"?>
<Properties xmlns="http://schemas.openxmlformats.org/officeDocument/2006/custom-properties" xmlns:vt="http://schemas.openxmlformats.org/officeDocument/2006/docPropsVTypes"/>
</file>