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الطرسوسي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الطرسوسي
</w:t>
      </w:r>
    </w:p>
    <w:p>
      <w:pPr/>
      <w:r>
        <w:rPr/>
        <w:t xml:space="preserve">محمد بن إبراهيم الطرسوسي العالم الفاضل المحقق القدوة المدقق الشيخ الإمام أبو علي</w:t>
      </w:r>
    </w:p>
    <w:p/>
    <w:p>
      <w:pPr/>
      <w:r>
        <w:rPr/>
        <w:t xml:space="preserve">صنف مجمع البيان في تفسير القرآن</w:t>
      </w:r>
    </w:p>
    <w:p/>
    <w:p>
      <w:pPr/>
      <w:r>
        <w:rPr/>
        <w:t xml:space="preserve">وتوفي سنة إحدى وثلاثين وسبعمائة</w:t>
      </w:r>
    </w:p>
    <w:p/>
    <w:p>
      <w:pPr/>
      <w:r>
        <w:rPr/>
        <w:t xml:space="preserve">من أسامي الكتب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للأدنه وي،(مكتبة العلوم والحكم - المدينة المنورة،1997،ط 1،ج 1،ص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2026-07-27T09:08:05+03:00</dcterms:created>
  <dcterms:modified xsi:type="dcterms:W3CDTF">2026-07-27T09:08:05+03:00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