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الأزنيقي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الأزنيقي
</w:t>
      </w:r>
    </w:p>
    <w:p>
      <w:pPr/>
      <w:r>
        <w:rPr/>
        <w:t xml:space="preserve">محمد بن محمد الأزنيقي العالم الفاضل كان مفسرا</w:t>
      </w:r>
    </w:p>
    <w:p/>
    <w:p>
      <w:pPr/>
      <w:r>
        <w:rPr/>
        <w:t xml:space="preserve">وقد صنف التفسير قد يعرف بتفسير الأزنيقي وهو في أربعة أسفار</w:t>
      </w:r>
    </w:p>
    <w:p/>
    <w:p>
      <w:pPr/>
      <w:r>
        <w:rPr/>
        <w:t xml:space="preserve">وكانت وفاته في سنة إحدى وعشرين وثمانمائة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2026-07-27T12:20:25+03:00</dcterms:created>
  <dcterms:modified xsi:type="dcterms:W3CDTF">2026-07-27T12:20:25+03:00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