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جبريل بن أبي الحسن بن جبريل العسقلاني ثم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جبريل بن أبي الحسن بن جبريل العسقلاني ثم المصري
</w:t>
      </w:r>
    </w:p>
    <w:p>
      <w:pPr/>
      <w:r>
        <w:rPr/>
        <w:t xml:space="preserve">جبريل بن أبي الحسن بن جبريل العسقلاني ثم المصري فقيه محدث، ولد سنة عشرة وست مائة.</w:t>
      </w:r>
    </w:p>
    <w:p/>
    <w:p>
      <w:pPr/>
      <w:r>
        <w:rPr/>
        <w:t xml:space="preserve">وسمع من ابن المقير، وجماعة.</w:t>
      </w:r>
    </w:p>
    <w:p/>
    <w:p>
      <w:pPr/>
      <w:r>
        <w:rPr/>
        <w:t xml:space="preserve">وأجاز له مروياته، مات سنة خمس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2026-07-24T20:00:32+03:00</dcterms:created>
  <dcterms:modified xsi:type="dcterms:W3CDTF">2026-07-24T20:00:32+03:00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