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مردنيش
</w:t>
      </w:r>
    </w:p>
    <w:p>
      <w:pPr>
        <w:jc w:val="start"/>
        <w:bidi/>
      </w:pPr>
      <w:r>
        <w:rPr>
          <w:rFonts w:ascii="arial" w:hAnsi="arial" w:eastAsia="arial" w:cs="arial"/>
          <w:sz w:val="28"/>
          <w:szCs w:val="28"/>
          <w:b w:val="1"/>
          <w:bCs w:val="1"/>
          <w:rtl/>
        </w:rPr>
        <w:t xml:space="preserve">ابن مردنيش
</w:t>
      </w:r>
    </w:p>
    <w:p>
      <w:pPr/>
      <w:r>
        <w:rPr/>
        <w:t xml:space="preserve">ابن مردنيش  يوسف بن سعد بن محمد بن أحمد بن مردنيش الجذامي، أبو الحجاج: أمير بلنسية وجهاتها، من قبل (الوحدين) كان معم أخيه (محمد بن سعد) في حروبه مع كبير الموحدين (يوسف بن عبد المؤمن) ثم فارق أخاه (سنة 567) وتوفى هذا في السنة نفسها، وخلفه ابنه أبو القمر (هلال بن محمد) وكان محمد ابن سعد قد اوصى، فبيل وفاته، بتصيير ملكة إلى يوسف بن تاشفين، بعد عدائهما الشديد ؛ فرعي ابن تاشفين حق الوصية، وجعل أبا القمر من خاصته، وتزوج أهتا له (سنة 570) وولى عمه (صاحب الترجمة) على بلنسية وجهاتها، فاستقر فيها، شبه مستقل، إلى ان توفى. </w:t>
      </w:r>
    </w:p>
    <w:p>
      <w:pPr>
        <w:jc w:val="start"/>
        <w:bidi/>
      </w:pPr>
      <w:r>
        <w:rPr>
          <w:sz w:val="24"/>
          <w:szCs w:val="24"/>
          <w:b w:val="1"/>
          <w:bCs w:val="1"/>
          <w:rtl/>
        </w:rPr>
        <w:t xml:space="preserve">
الأعلام،(دار العلم للملايين - بيروت،2002،ط 15،ج 8،ص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2026-07-27T10:05:36+03:00</dcterms:created>
  <dcterms:modified xsi:type="dcterms:W3CDTF">2026-07-27T10:05:36+03:00</dcterms:modified>
</cp:coreProperties>
</file>

<file path=docProps/custom.xml><?xml version="1.0" encoding="utf-8"?>
<Properties xmlns="http://schemas.openxmlformats.org/officeDocument/2006/custom-properties" xmlns:vt="http://schemas.openxmlformats.org/officeDocument/2006/docPropsVTypes"/>
</file>