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 حبيبي
</w:t>
      </w:r>
    </w:p>
    <w:p>
      <w:pPr>
        <w:jc w:val="start"/>
        <w:bidi/>
      </w:pPr>
      <w:r>
        <w:rPr>
          <w:rFonts w:ascii="arial" w:hAnsi="arial" w:eastAsia="arial" w:cs="arial"/>
          <w:sz w:val="28"/>
          <w:szCs w:val="28"/>
          <w:b w:val="1"/>
          <w:bCs w:val="1"/>
          <w:rtl/>
        </w:rPr>
        <w:t xml:space="preserve">إميل حبيبي
</w:t>
      </w:r>
    </w:p>
    <w:p>
      <w:pPr/>
      <w:r>
        <w:rPr/>
        <w:t xml:space="preserve">إميل حبيبي  إميل حبيبي: صحفي سياسي من الأدباء. ولد في حيفا. أسهم بتأسيس عصبة التحرر الوطني الفلسطيني. رفض بعد نكبة 1948 أن ينزح من وطنه. وانضم إلى الحزب الشيوعي الإسرائيلي ومثله في الكنيست عشرين عاما، ثم استقال من وظائفه ليتفرغ للصحافة والأدب، ثم ترك السياسة وعضوية الحزب. أسس مجلة (مشارف). منح جائزة الدولة الإسرائيلية في الأدب مما سبب به هجوما شديدا من طرف الصهاينة والعرب على السواء، وجائزة القدس من الدائرة الثقافية الفلسطينية. من كتبه (سداسية الأيام الستة)، (لكع بن لكع)، (إخطية)، (خرافية سرايا بنت غول)، (يوميات أبي النحس المتفائم) وهذه روايات، ترجمت الأخيرة منها إلى 15 لغة. (أم الروبابيكا) مسرحية. وكتب (نحو عالم بلا أقفاص) ونشر رسائل ومقالات.. وقد أثارت كتاباته جدلا ونزاعا. ولفاروق وادي (ثلاث علامات في الرواية الفلسطينية) دراسة عنه وعن اثنين آخرين.</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2026-07-23T18:13:15+03:00</dcterms:created>
  <dcterms:modified xsi:type="dcterms:W3CDTF">2026-07-23T18:13:15+03:00</dcterms:modified>
</cp:coreProperties>
</file>

<file path=docProps/custom.xml><?xml version="1.0" encoding="utf-8"?>
<Properties xmlns="http://schemas.openxmlformats.org/officeDocument/2006/custom-properties" xmlns:vt="http://schemas.openxmlformats.org/officeDocument/2006/docPropsVTypes"/>
</file>