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حامد سلطان
</w:t>
      </w:r>
    </w:p>
    <w:p>
      <w:pPr>
        <w:jc w:val="start"/>
        <w:bidi/>
      </w:pPr>
      <w:r>
        <w:rPr>
          <w:rFonts w:ascii="arial" w:hAnsi="arial" w:eastAsia="arial" w:cs="arial"/>
          <w:sz w:val="28"/>
          <w:szCs w:val="28"/>
          <w:b w:val="1"/>
          <w:bCs w:val="1"/>
          <w:rtl/>
        </w:rPr>
        <w:t xml:space="preserve">حامد سلطان
</w:t>
      </w:r>
    </w:p>
    <w:p>
      <w:pPr/>
      <w:r>
        <w:rPr/>
        <w:t xml:space="preserve">حامد سلطان  حامد سلطان: قانوني من أهالي مصر، تولى عددا من المناصب منها رئاسة الجمعية المصرية للقانون الدولي، وكان عضوا في محكمة القضاء الإداري للأمم المتحدة والمستشار القانوني لرئيس الجمهورية خلال مفاوضات الجلاء عام 1953 وفي السودان، العام الذي يليه، واختير ممثلا لمصر في هيئة التحكيم بشأن طابا. منح جائزة الدولة التقديرية في العلوم الاجتماعية، ألف (القانون الدولي العام) بالاشتراك.</w:t>
      </w:r>
    </w:p>
    <w:p/>
    <w:p>
      <w:pPr>
        <w:jc w:val="start"/>
        <w:bidi/>
      </w:pPr>
      <w:r>
        <w:rPr>
          <w:sz w:val="24"/>
          <w:szCs w:val="24"/>
          <w:b w:val="1"/>
          <w:bCs w:val="1"/>
          <w:rtl/>
        </w:rPr>
        <w:t xml:space="preserve">
إتمام الأعلام،(دار صادر - بيروت،1999،ط 1،ج 1،ص 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2026-07-23T01:34:27+03:00</dcterms:created>
  <dcterms:modified xsi:type="dcterms:W3CDTF">2026-07-23T01:34:27+03:00</dcterms:modified>
</cp:coreProperties>
</file>

<file path=docProps/custom.xml><?xml version="1.0" encoding="utf-8"?>
<Properties xmlns="http://schemas.openxmlformats.org/officeDocument/2006/custom-properties" xmlns:vt="http://schemas.openxmlformats.org/officeDocument/2006/docPropsVTypes"/>
</file>