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حليم تقي الدين
</w:t>
      </w:r>
    </w:p>
    <w:p>
      <w:pPr>
        <w:jc w:val="start"/>
        <w:bidi/>
      </w:pPr>
      <w:r>
        <w:rPr>
          <w:rFonts w:ascii="arial" w:hAnsi="arial" w:eastAsia="arial" w:cs="arial"/>
          <w:sz w:val="28"/>
          <w:szCs w:val="28"/>
          <w:b w:val="1"/>
          <w:bCs w:val="1"/>
          <w:rtl/>
        </w:rPr>
        <w:t xml:space="preserve">حليم تقي الدين
</w:t>
      </w:r>
    </w:p>
    <w:p>
      <w:pPr/>
      <w:r>
        <w:rPr/>
        <w:t xml:space="preserve">حليم تقي الدين  حليم بن أحمد تقي الدين: من أعلام لبنان، ولد في بعقلين وتخرج بمدرسة الحكمة في بيروت ونال شهادة الحقوق وشهادة في التاريخ الدبلوماسي من الأكاديمية اللبنانية وعين أستاذا في الجامعة اللبنانية أكثر من عشرين سنة ومارس المحاماة، واختير عضوا في المجلس المذهبي الدرزي. شارك في تأسيس المجلس الدرزي للبحوث والإنماء وشغل عضوية مجلس أمنائه كما شارك في تأسيس المكتب الدائم للمؤسسات الدرزية وكان من أعضائه. اشترك في وضع الثوابت الإسلامية العشر مع مفتي الجمهورية ونائب رئيس المجلس الشيعي الأعلى وعدد من كبار الشخصيات، له (قضاء الموحدين الدروز في ماضيه وحاضره)، (الأحوال الشخصية عند الدروز وأوجه التباين مع السنة والشيعة مصدرا واجتهادا)، (الوصية والميراث عند الموحدين الدروز)، (مئة مقال في تقسيم الميراث) بالاشتراك، مات غيلة.</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2026-07-23T18:48:16+03:00</dcterms:created>
  <dcterms:modified xsi:type="dcterms:W3CDTF">2026-07-23T18:48:16+03:00</dcterms:modified>
</cp:coreProperties>
</file>

<file path=docProps/custom.xml><?xml version="1.0" encoding="utf-8"?>
<Properties xmlns="http://schemas.openxmlformats.org/officeDocument/2006/custom-properties" xmlns:vt="http://schemas.openxmlformats.org/officeDocument/2006/docPropsVTypes"/>
</file>