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رشيد
</w:t>
      </w:r>
    </w:p>
    <w:p>
      <w:pPr>
        <w:jc w:val="start"/>
        <w:bidi/>
      </w:pPr>
      <w:r>
        <w:rPr>
          <w:rFonts w:ascii="arial" w:hAnsi="arial" w:eastAsia="arial" w:cs="arial"/>
          <w:sz w:val="28"/>
          <w:szCs w:val="28"/>
          <w:b w:val="1"/>
          <w:bCs w:val="1"/>
          <w:rtl/>
        </w:rPr>
        <w:t xml:space="preserve">ابن رشيد
</w:t>
      </w:r>
    </w:p>
    <w:p>
      <w:pPr/>
      <w:r>
        <w:rPr/>
        <w:t xml:space="preserve">ابن رشيد  عبد العزيز بن ناصر بن عبد العزيز بن رشيد من آل حصنان القحطاني: قاض مرب. ولد في مدينة الرس، وتعلم على علمائها. أقرأ بالمعهد السعودي في مكة المكرمة عند افتتاحه، وعين قاضيا في عدد من المناطق. واستقال، ثم عين بالمعهد العلمي بالرياض، ثم بكلية الشريعة فيها، وأسندت إليه رئاسة مدراس البنات فيها كذلك، وكان عضوا بدار الإفتاء. من كتبه (عدة الباحث في أحكام التوارث)، (التنبيهات السنية على العقيدة الواسطية)، (القول الأسنى)، (إفادة السائل في أهم الفتاوى والمسائل).</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ناصر الرشيد 
</w:t>
      </w:r>
    </w:p>
    <w:p>
      <w:pPr/>
      <w:r>
        <w:rPr/>
        <w:t xml:space="preserve">عالم جليل.</w:t>
      </w:r>
    </w:p>
    <w:p/>
    <w:p>
      <w:pPr/>
      <w:r>
        <w:rPr/>
        <w:t xml:space="preserve">ولد في مدينة الرس بالسعودية، وقرأ القرآن وحفظه عن ظهر قلب، ثم شرع في طلب العلم على علماء الرس. ثم رحل إلى الرياض للتزود والاستفادة من العلم. ثم رحل إلى مكة المكرمة ولازم علماء المسجد الحرام.</w:t>
      </w:r>
    </w:p>
    <w:p/>
    <w:p>
      <w:pPr/>
      <w:r>
        <w:rPr/>
        <w:t xml:space="preserve">تعين مدرساً بالمعهد السعودي في مكة، وكثيراً ما كان يرشد في الحرم ويدرس الطلبة فيه.</w:t>
      </w:r>
    </w:p>
    <w:p/>
    <w:p>
      <w:pPr/>
      <w:r>
        <w:rPr/>
        <w:t xml:space="preserve">تولى القضاء، وتعين مدرساً في المعهد العلمي بالرياض، وفي كلية الشريعة، وعضواً في دار الإفتاء.</w:t>
      </w:r>
    </w:p>
    <w:p/>
    <w:p>
      <w:pPr/>
      <w:r>
        <w:rPr/>
        <w:t xml:space="preserve">وعندما افتتحت مدارس البنات بالرياض عام 1381 هـ تعين رئيساً لها بضعة شهور. وفي العام الذي يليه تعين رئيساً لهيئة محكمة التمييز بالوسطى والشرقية.</w:t>
      </w:r>
    </w:p>
    <w:p/>
    <w:p>
      <w:pPr/>
      <w:r>
        <w:rPr/>
        <w:t xml:space="preserve">صدر له:</w:t>
      </w:r>
    </w:p>
    <w:p/>
    <w:p>
      <w:pPr/>
      <w:r>
        <w:rPr/>
        <w:t xml:space="preserve">- عدة الباحث في أحكام التوارث. - دمشق: المطبعة الهاشمية، 1385 هـ، 124 ص (صدر في ثلاث طبعات).</w:t>
      </w:r>
    </w:p>
    <w:p/>
    <w:p>
      <w:pPr/>
      <w:r>
        <w:rPr/>
        <w:t xml:space="preserve">- التنبيهات السنية على العقيدة الواسطية. - ط 2 - الرياض: مكتبة الرياض الحديثة، 1400 هـ، 388 ص (والعقيدة الواسطية لابن تيمية).</w:t>
      </w:r>
    </w:p>
    <w:p/>
    <w:p>
      <w:pPr/>
      <w:r>
        <w:rPr/>
        <w:t xml:space="preserve">- القول الأسنى.</w:t>
      </w:r>
    </w:p>
    <w:p/>
    <w:p>
      <w:pPr/>
      <w:r>
        <w:rPr/>
        <w:t xml:space="preserve">- إفادة السائل في أهم الفتاوى والمسائل: الرياض: مطابع المدينة، 1400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2026-07-27T13:47:04+03:00</dcterms:created>
  <dcterms:modified xsi:type="dcterms:W3CDTF">2026-07-27T13:47:04+03:00</dcterms:modified>
</cp:coreProperties>
</file>

<file path=docProps/custom.xml><?xml version="1.0" encoding="utf-8"?>
<Properties xmlns="http://schemas.openxmlformats.org/officeDocument/2006/custom-properties" xmlns:vt="http://schemas.openxmlformats.org/officeDocument/2006/docPropsVTypes"/>
</file>