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المتعال الجبري
</w:t>
      </w:r>
    </w:p>
    <w:p>
      <w:pPr>
        <w:jc w:val="start"/>
        <w:bidi/>
      </w:pPr>
      <w:r>
        <w:rPr>
          <w:rFonts w:ascii="arial" w:hAnsi="arial" w:eastAsia="arial" w:cs="arial"/>
          <w:sz w:val="28"/>
          <w:szCs w:val="28"/>
          <w:b w:val="1"/>
          <w:bCs w:val="1"/>
          <w:rtl/>
        </w:rPr>
        <w:t xml:space="preserve">عبد المتعال الجبري
</w:t>
      </w:r>
    </w:p>
    <w:p>
      <w:pPr/>
      <w:r>
        <w:rPr/>
        <w:t xml:space="preserve">عبد المتعال الجبري  عبد المتعال بن محمد الجبري: عالم داعية من أهل مصر. لقي في سبيل الدعوة عنتا. رحل إلى نيوجرسي في أمريكا مديرا للمركز الإسلامي وتوفي هناك. له (نظام الحكم في الإسلام بأقلام فلسفة النصارى)، (المرأة في التصور الإسلامي)، (الضالون كما صورهم القرآن الكريم)، (الناصرية في قفص الاتهام)، (جريمة الزواج بغير المسلمات: فقها وسياسة)، (المشتهر من الحديث الموضوع والضعيف والبديل الصحيح)، (شطحات مصطفى محمود في تفسيراته العصرية للقرآن الكريم)، (حجية السنة ومصطلحات المحدثين وأعلامهم)، (الأضحية: أحكامها وفسلفتها التربوية)، (لا.. نسخ في القرآن: لماذا)، (لماذا اغتيل الشهيد حسن البنا).</w:t>
      </w:r>
    </w:p>
    <w:p/>
    <w:p>
      <w:pPr>
        <w:jc w:val="start"/>
        <w:bidi/>
      </w:pPr>
      <w:r>
        <w:rPr>
          <w:sz w:val="24"/>
          <w:szCs w:val="24"/>
          <w:b w:val="1"/>
          <w:bCs w:val="1"/>
          <w:rtl/>
        </w:rPr>
        <w:t xml:space="preserve">
إتمام الأعلام،(دار صادر - بيروت،1999،ط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2026-07-27T10:07:58+03:00</dcterms:created>
  <dcterms:modified xsi:type="dcterms:W3CDTF">2026-07-27T10:07:58+03:00</dcterms:modified>
</cp:coreProperties>
</file>

<file path=docProps/custom.xml><?xml version="1.0" encoding="utf-8"?>
<Properties xmlns="http://schemas.openxmlformats.org/officeDocument/2006/custom-properties" xmlns:vt="http://schemas.openxmlformats.org/officeDocument/2006/docPropsVTypes"/>
</file>