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العيد خليفة
</w:t>
      </w:r>
    </w:p>
    <w:p>
      <w:pPr>
        <w:jc w:val="start"/>
        <w:bidi/>
      </w:pPr>
      <w:r>
        <w:rPr>
          <w:rFonts w:ascii="arial" w:hAnsi="arial" w:eastAsia="arial" w:cs="arial"/>
          <w:sz w:val="28"/>
          <w:szCs w:val="28"/>
          <w:b w:val="1"/>
          <w:bCs w:val="1"/>
          <w:rtl/>
        </w:rPr>
        <w:t xml:space="preserve">محمد العيد خليفة
</w:t>
      </w:r>
    </w:p>
    <w:p>
      <w:pPr/>
      <w:r>
        <w:rPr/>
        <w:t xml:space="preserve">محمد العيد خليفة  محمد العيد بن محمد بن علي بن خليفة: شاعر الجزائر لعصره. ولد في عين البيضاء وتعلم بها وانتقل مع أسرته إلى بسكرة فواصل تعليمه، ثم غادر إلى تونس وانتسب لجامع الزيتونة، ولما رجع إلى بلاده شارك في حركة الانبعاث الفكري بالتعليم والنشر في الصحف والمجلات، ودعي بعدئذ إلى العاصمة الجزائرية للتعليم فيها، وعين وزيرا اثني عشر عاما وفي تلك الفترة شارك في تأسيس جمعية العلماء المسلمين الجزائريين وغادر العاصمة إلى بسكرة في أثناء الحرب العالمية الثانية ثم دعي إلى باتنة للإشراف على مديرية التربية والتعليم، كما دعي بعدئذ إلى عين مليلة لإدارة مدرسة الوفاق. واعتقل مع اندلاع الثورة الجزائرية الكبرى ثم أطلق سراحه وفرضت عليه الإقامة الجبرية حتى الاستقلال. اختير عضوا في مجمع اللغة العربية بدمشق. له (ديوان محمد العيد خليفة) ولأبي القاسم سعد الله (محمد العيد خليفة رائد الشعر الجزائري الحديث). ولمحمد رشدي حسن (شاعرات من الجزائر: الأمير عبد القادر الجزائري ومحمد العيد خليفة).</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2026-07-26T00:50:02+03:00</dcterms:created>
  <dcterms:modified xsi:type="dcterms:W3CDTF">2026-07-26T00:50:02+03:00</dcterms:modified>
</cp:coreProperties>
</file>

<file path=docProps/custom.xml><?xml version="1.0" encoding="utf-8"?>
<Properties xmlns="http://schemas.openxmlformats.org/officeDocument/2006/custom-properties" xmlns:vt="http://schemas.openxmlformats.org/officeDocument/2006/docPropsVTypes"/>
</file>