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البارودي
</w:t>
      </w:r>
    </w:p>
    <w:p>
      <w:pPr>
        <w:jc w:val="start"/>
        <w:bidi/>
      </w:pPr>
      <w:r>
        <w:rPr>
          <w:rFonts w:ascii="arial" w:hAnsi="arial" w:eastAsia="arial" w:cs="arial"/>
          <w:sz w:val="28"/>
          <w:szCs w:val="28"/>
          <w:b w:val="1"/>
          <w:bCs w:val="1"/>
          <w:rtl/>
        </w:rPr>
        <w:t xml:space="preserve">البارودي
</w:t>
      </w:r>
    </w:p>
    <w:p>
      <w:pPr/>
      <w:r>
        <w:rPr/>
        <w:t xml:space="preserve">البارودي  حسين البارودي الحنفي التونسي أبو عبد الله، تولى خطة الإفتاء، له رسالة رد بها على رسالة لطف الله الأزميري فيمن أفسد الركعتين الأخيرتين، ورد عليه لطف الله برسالة، وأعاد البارودي الرد عليه برسالة أخرى. وهذه الرسالة توجد ضمن مجموع بالمكتبة الوطنية - ولطف الله الأزميري من علماء تركيا، زار تونس وأقام بها مدة، واتصل بعلمائها وكانت له معهم مجالس مذاكرة ومناظرة، واقترح على بعضهم تأليف رسائل، وألف هو رسائل وردودا على غيره.</w:t>
      </w:r>
    </w:p>
    <w:p/>
    <w:p>
      <w:pPr/>
      <w:r>
        <w:rPr/>
        <w:t xml:space="preserve">المراجع:</w:t>
      </w:r>
    </w:p>
    <w:p/>
    <w:p>
      <w:pPr/>
      <w:r>
        <w:rPr/>
        <w:t xml:space="preserve">- برنامج المكتبة الصادقية (العبدلية) 4/ 136.</w:t>
      </w:r>
    </w:p>
    <w:p/>
    <w:p>
      <w:pPr/>
      <w:r>
        <w:rPr/>
        <w:t xml:space="preserve">- الأعلام 7/ 269 - 70 (ط 5/) - هدية - العارفين 2/ 465.</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2026-07-27T11:02:41+03:00</dcterms:created>
  <dcterms:modified xsi:type="dcterms:W3CDTF">2026-07-27T11:02:41+03:00</dcterms:modified>
</cp:coreProperties>
</file>

<file path=docProps/custom.xml><?xml version="1.0" encoding="utf-8"?>
<Properties xmlns="http://schemas.openxmlformats.org/officeDocument/2006/custom-properties" xmlns:vt="http://schemas.openxmlformats.org/officeDocument/2006/docPropsVTypes"/>
</file>