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الجبالي
</w:t>
      </w:r>
    </w:p>
    <w:p>
      <w:pPr/>
      <w:r>
        <w:rPr/>
        <w:t xml:space="preserve">الجبالي  محمد بن منصور منصور الجبالي، الفقيه.</w:t>
      </w:r>
    </w:p>
    <w:p/>
    <w:p>
      <w:pPr/>
      <w:r>
        <w:rPr/>
        <w:t xml:space="preserve">أخذ عن الشيخ أحمد بن محمد بن عبد الكريم المرساوي.</w:t>
      </w:r>
    </w:p>
    <w:p/>
    <w:p>
      <w:pPr/>
      <w:r>
        <w:rPr/>
        <w:t xml:space="preserve">له بغية ذوي الحاجات في معرفة تقرير النفقات.</w:t>
      </w:r>
    </w:p>
    <w:p/>
    <w:p>
      <w:pPr/>
      <w:r>
        <w:rPr/>
        <w:t xml:space="preserve">المرجع</w:t>
      </w:r>
    </w:p>
    <w:p/>
    <w:p>
      <w:pPr/>
      <w:r>
        <w:rPr/>
        <w:t xml:space="preserve">شجرة النور الزكية 292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2026-07-23T18:44:25+03:00</dcterms:created>
  <dcterms:modified xsi:type="dcterms:W3CDTF">2026-07-23T18:44:25+03:00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