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حميدة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حميدة
</w:t>
      </w:r>
    </w:p>
    <w:p>
      <w:pPr/>
      <w:r>
        <w:rPr/>
        <w:t xml:space="preserve">ابن حميدة  عمار بن حميدة التونسي المالكي، المقرئ.</w:t>
      </w:r>
    </w:p>
    <w:p/>
    <w:p>
      <w:pPr/>
      <w:r>
        <w:rPr/>
        <w:t xml:space="preserve">له اللؤلؤ المنثور في القراءة العشرة البدور فرغ منه سنة 1316 هـ‍.</w:t>
      </w:r>
    </w:p>
    <w:p/>
    <w:p>
      <w:pPr/>
      <w:r>
        <w:rPr/>
        <w:t xml:space="preserve">المرجع:</w:t>
      </w:r>
    </w:p>
    <w:p/>
    <w:p>
      <w:pPr/>
      <w:r>
        <w:rPr/>
        <w:t xml:space="preserve">- إيضاح المكنون 2/ 417.</w:t>
      </w:r>
    </w:p>
    <w:p/>
    <w:p>
      <w:pPr/>
      <w:r>
        <w:rPr/>
        <w:t xml:space="preserve">- معجم المؤلفين 7/ 267.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2،ص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2026-07-23T22:28:45+03:00</dcterms:created>
  <dcterms:modified xsi:type="dcterms:W3CDTF">2026-07-23T22:28:45+03:00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