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الحنفي
</w:t>
      </w:r>
    </w:p>
    <w:p>
      <w:pPr>
        <w:jc w:val="start"/>
        <w:bidi/>
      </w:pPr>
      <w:r>
        <w:rPr>
          <w:rFonts w:ascii="arial" w:hAnsi="arial" w:eastAsia="arial" w:cs="arial"/>
          <w:sz w:val="28"/>
          <w:szCs w:val="28"/>
          <w:b w:val="1"/>
          <w:bCs w:val="1"/>
          <w:rtl/>
        </w:rPr>
        <w:t xml:space="preserve">الحنفي
</w:t>
      </w:r>
    </w:p>
    <w:p>
      <w:pPr/>
      <w:r>
        <w:rPr/>
        <w:t xml:space="preserve">الحنفي  هبة الله بن أحمد الحنفي، الفقيه، الفرضي، الطبيب.</w:t>
      </w:r>
    </w:p>
    <w:p/>
    <w:p>
      <w:pPr/>
      <w:r>
        <w:rPr/>
        <w:t xml:space="preserve">ولد في بلدة ميدون من جزيرة المورة، وقدم إلى تونس مع أولاده ووالده لما استولت النصارى على بلادهم، وفي تونس اجتهد في طلب العلم، فقرأ على علي الصوفي، وحسين الحنفي، ومحمد بن محجوبة، ومحمد والي الحنفي، وغيرهم وعلى الأخير توغل في الحساب والفرائض.</w:t>
      </w:r>
    </w:p>
    <w:p/>
    <w:p>
      <w:pPr/>
      <w:r>
        <w:rPr/>
        <w:t xml:space="preserve">وكان يقرئ في بيته بالمدرسة اليوسفية، الفقه، والصرف، واللغة التركية والفارسية، واستفاد منه خلق كثير، وتولى التدريس بالمدرسة اليوسفية، ثم تولى الإمامة والخطابة بجامع القصر، ثم سافر إلى الحج، ومات بالاسكندرية ودفن بها.</w:t>
      </w:r>
    </w:p>
    <w:p/>
    <w:p>
      <w:pPr/>
      <w:r>
        <w:rPr/>
        <w:t xml:space="preserve">وهو يحسن اليونانية، والطب، وهو أول من ذكر في كتابه الطبي وجود مرض الزهري بتونس، وهو أول من أدخل الطب الحديث إلى تونس، ومما يثبت أنه احترف الطب وكتب بتونس ذكره لجبل زغوان، اين يلتقط الأعشاب، وذكرها بأسمائها التونسية، وذكر أطعمة تونسية مثل الهريسة، واللبلابي، والطبيخة، والأعشاب يكرر ذكرها أحيانا بما يرادفها بالعربية، والفارسية، والتركية، ويشير أحيانا إلى دواء ذاكرا أنه نقله من كتب الافرنج.</w:t>
      </w:r>
    </w:p>
    <w:p/>
    <w:p>
      <w:pPr/>
      <w:r>
        <w:rPr/>
        <w:t xml:space="preserve">له كتاب في الطب غفل من العنوان يحتوي على مقدمة، وأربع مقالات، الأولى في أصول حفظ الصحة بالهواء، والأكل، والشرب،</w:t>
      </w:r>
    </w:p>
    <w:p/>
    <w:p>
      <w:pPr/>
      <w:r>
        <w:rPr/>
        <w:t xml:space="preserve">والحركة والنوم واليقظة، والاستفراغ، والفصد، ودخول الحمام، والثانية في المفردات والأعشاب، والبقول، والغلال، واللحوم، والثالثة في المركبات، والأشربة والمعاجين، والجوارش، والأقراص، وعلاج الأمراض من الرأس إلى القدم وأسبابها، والرابعة في الأمراض الشاملة للبدن، توجد منه نسخة بالمكتبة الوطنية بتونس.</w:t>
      </w:r>
    </w:p>
    <w:p/>
    <w:p>
      <w:pPr/>
      <w:r>
        <w:rPr/>
        <w:t xml:space="preserve">المراجع:</w:t>
      </w:r>
    </w:p>
    <w:p/>
    <w:p>
      <w:pPr/>
      <w:r>
        <w:rPr/>
        <w:t xml:space="preserve">- تاريخ الطب العربي التونسي 121 - 124.</w:t>
      </w:r>
    </w:p>
    <w:p/>
    <w:p>
      <w:pPr/>
      <w:r>
        <w:rPr/>
        <w:t xml:space="preserve">- ذيل بشائر أهل الإيمان 209 - 210.</w:t>
      </w:r>
    </w:p>
    <w:p>
      <w:pPr>
        <w:jc w:val="start"/>
        <w:bidi/>
      </w:pPr>
      <w:r>
        <w:rPr>
          <w:sz w:val="24"/>
          <w:szCs w:val="24"/>
          <w:b w:val="1"/>
          <w:bCs w:val="1"/>
          <w:rtl/>
        </w:rPr>
        <w:t xml:space="preserve">
تراجم المؤلفين التونسيين،(دار الغرب الإسلامي، بيروت - لبنان،1994،ط 2،ج 2،ص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2026-07-23T16:36:23+03:00</dcterms:created>
  <dcterms:modified xsi:type="dcterms:W3CDTF">2026-07-23T16:36:23+03:00</dcterms:modified>
</cp:coreProperties>
</file>

<file path=docProps/custom.xml><?xml version="1.0" encoding="utf-8"?>
<Properties xmlns="http://schemas.openxmlformats.org/officeDocument/2006/custom-properties" xmlns:vt="http://schemas.openxmlformats.org/officeDocument/2006/docPropsVTypes"/>
</file>