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هارون بن سهل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سهل
</w:t>
      </w:r>
    </w:p>
    <w:p>
      <w:pPr/>
      <w:r>
        <w:rPr/>
        <w:t xml:space="preserve">إبراهيم بن هارون بن سهل من أهل سرقسطة.</w:t>
      </w:r>
    </w:p>
    <w:p/>
    <w:p>
      <w:pPr/>
      <w:r>
        <w:rPr/>
        <w:t xml:space="preserve">ولي: أحكام القضاء بها؛ وتوفي (رحمه الله): سنة ست وتسعين ومائتين؛ كتب عنه. وجدت تاريخ وفاته: بخط محمد 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هارون بن سهل
</w:t>
      </w:r>
    </w:p>
    <w:p>
      <w:pPr/>
      <w:r>
        <w:rPr/>
        <w:t xml:space="preserve">إبراهيم بن هارون بن سهل </w:t>
      </w:r>
    </w:p>
    <w:p/>
    <w:p>
      <w:pPr/>
      <w:r>
        <w:rPr/>
        <w:t xml:space="preserve">قاضي سرقسطة من ثغور الأندلس، فقيه محدث مات بها سنة ست وتسعين.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2026-07-27T08:29:39+03:00</dcterms:created>
  <dcterms:modified xsi:type="dcterms:W3CDTF">2026-07-27T08:29:39+03:00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