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النسائي، 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النسائي، أبو الفرج
</w:t>
      </w:r>
    </w:p>
    <w:p>
      <w:pPr/>
      <w:r>
        <w:rPr/>
        <w:t xml:space="preserve">أحمد بن جعفر النسائي، أبو الفرج. عن جعفر الفريابي.</w:t>
      </w:r>
    </w:p>
    <w:p/>
    <w:p>
      <w:pPr/>
      <w:r>
        <w:rPr/>
        <w:t xml:space="preserve">قال ابن الفرات الحافظ: ليس بثقة.</w:t>
      </w:r>
    </w:p>
    <w:p/>
    <w:p>
      <w:pPr/>
      <w:r>
        <w:rPr/>
        <w:t xml:space="preserve">مات سنة ست وستين وثلاثمائة.</w:t>
      </w:r>
    </w:p>
    <w:p/>
    <w:p>
      <w:pPr/>
      <w:r>
        <w:rPr/>
        <w:t xml:space="preserve">وروى عنه البرقاني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2026-07-27T11:18:52+03:00</dcterms:created>
  <dcterms:modified xsi:type="dcterms:W3CDTF">2026-07-27T11:18:52+03:00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