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أبي محمد
</w:t>
      </w:r>
    </w:p>
    <w:p>
      <w:pPr>
        <w:jc w:val="start"/>
        <w:bidi/>
      </w:pPr>
      <w:r>
        <w:rPr>
          <w:rFonts w:ascii="arial" w:hAnsi="arial" w:eastAsia="arial" w:cs="arial"/>
          <w:sz w:val="28"/>
          <w:szCs w:val="28"/>
          <w:b w:val="1"/>
          <w:bCs w:val="1"/>
          <w:rtl/>
        </w:rPr>
        <w:t xml:space="preserve">حمزة بن أبي محمد
</w:t>
      </w:r>
    </w:p>
    <w:p>
      <w:pPr/>
      <w:r>
        <w:rPr/>
        <w:t xml:space="preserve">حمزة بن أبي محمد [ت] .</w:t>
      </w:r>
    </w:p>
    <w:p/>
    <w:p>
      <w:pPr/>
      <w:r>
        <w:rPr/>
        <w:t xml:space="preserve">شيخ مدني.</w:t>
      </w:r>
    </w:p>
    <w:p/>
    <w:p>
      <w:pPr/>
      <w:r>
        <w:rPr/>
        <w:t xml:space="preserve">عن عبد الله بن دينار.</w:t>
      </w:r>
    </w:p>
    <w:p/>
    <w:p>
      <w:pPr/>
      <w:r>
        <w:rPr/>
        <w:t xml:space="preserve">وعنه حاتم بن إسماعيل.</w:t>
      </w:r>
    </w:p>
    <w:p/>
    <w:p>
      <w:pPr/>
      <w:r>
        <w:rPr/>
        <w:t xml:space="preserve">لينه أبو زرعة وغيره.</w:t>
      </w:r>
    </w:p>
    <w:p>
      <w:pPr>
        <w:jc w:val="start"/>
        <w:bidi/>
      </w:pPr>
      <w:r>
        <w:rPr>
          <w:sz w:val="24"/>
          <w:szCs w:val="24"/>
          <w:b w:val="1"/>
          <w:bCs w:val="1"/>
          <w:rtl/>
        </w:rPr>
        <w:t xml:space="preserve">
ميزان الاعتدال في نقد الرجال،(دار المعرفة للطباعة والنشر، بيروت - لبنان،1963،ط 1،ج 1،ص 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أبي محمد المدني
</w:t>
      </w:r>
    </w:p>
    <w:p>
      <w:pPr/>
      <w:r>
        <w:rPr/>
        <w:t xml:space="preserve">حمزة بن أبي محمد المدني: عن عبد الله بن دينار، مجهول.</w:t>
      </w:r>
    </w:p>
    <w:p>
      <w:pPr>
        <w:jc w:val="start"/>
        <w:bidi/>
      </w:pPr>
      <w:r>
        <w:rPr>
          <w:sz w:val="24"/>
          <w:szCs w:val="24"/>
          <w:b w:val="1"/>
          <w:bCs w:val="1"/>
          <w:rtl/>
        </w:rPr>
        <w:t xml:space="preserve">
ديوان الضعفاء،(مكتبة النهضة الحديثة - مكة،1967،ط 2،ج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أبي محمد المدني
</w:t>
      </w:r>
    </w:p>
    <w:p>
      <w:pPr/>
      <w:r>
        <w:rPr/>
        <w:t xml:space="preserve">حمزة بن أبي محمد المدني </w:t>
      </w:r>
    </w:p>
    <w:p/>
    <w:p>
      <w:pPr/>
      <w:r>
        <w:rPr/>
        <w:t xml:space="preserve">عن عبد الله بن دينار وعنه حاتم بن إسماعيل لينه أبو زرعة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أبي محمد
</w:t>
      </w:r>
    </w:p>
    <w:p>
      <w:pPr/>
      <w:r>
        <w:rPr/>
        <w:t xml:space="preserve">حمزة بن أبي محمد </w:t>
      </w:r>
    </w:p>
    <w:p/>
    <w:p>
      <w:pPr/>
      <w:r>
        <w:rPr/>
        <w:t xml:space="preserve">عن عبد الله بن دينار قال الرازي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أبي محمد
</w:t>
      </w:r>
    </w:p>
    <w:p>
      <w:pPr/>
      <w:r>
        <w:rPr/>
        <w:t xml:space="preserve">حمزة بن أبي محمد </w:t>
      </w:r>
    </w:p>
    <w:p/>
    <w:p>
      <w:pPr/>
      <w:r>
        <w:rPr/>
        <w:t xml:space="preserve">روى عن عبد الله بن دينار وموسى بن عبد الله بن يزيد الخطمي الأنصاري روى عنه حاتم بن إسماعيل سمعت أبي يقول ذلك وسألته عنه فقال ضعيف الحديث منكر الحديث لم يرو عنه غير حاتم حدثنا عبد الرحمن قال سئل أبو زرعة عنه فقال مديني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2026-07-27T12:17:10+03:00</dcterms:created>
  <dcterms:modified xsi:type="dcterms:W3CDTF">2026-07-27T12:17:10+03:00</dcterms:modified>
</cp:coreProperties>
</file>

<file path=docProps/custom.xml><?xml version="1.0" encoding="utf-8"?>
<Properties xmlns="http://schemas.openxmlformats.org/officeDocument/2006/custom-properties" xmlns:vt="http://schemas.openxmlformats.org/officeDocument/2006/docPropsVTypes"/>
</file>