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صبيح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صبيح بن عبد الله
</w:t>
      </w:r>
    </w:p>
    <w:p>
      <w:pPr/>
      <w:r>
        <w:rPr/>
        <w:t xml:space="preserve">صبيح بن عبد الله. وقيل ابن القاسم، أبو الجهم الايادي.</w:t>
      </w:r>
    </w:p>
    <w:p/>
    <w:p>
      <w:pPr/>
      <w:r>
        <w:rPr/>
        <w:t xml:space="preserve">عنه هشيم.</w:t>
      </w:r>
    </w:p>
    <w:p/>
    <w:p>
      <w:pPr/>
      <w:r>
        <w:rPr/>
        <w:t xml:space="preserve">يأتي بالكنية.</w:t>
      </w:r>
    </w:p>
    <w:p/>
    <w:p>
      <w:pPr/>
      <w:r>
        <w:rPr/>
        <w:t xml:space="preserve">له حديث: امرؤ القيس قائد الشعراء إلى النار.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307)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2026-07-26T05:54:07+03:00</dcterms:created>
  <dcterms:modified xsi:type="dcterms:W3CDTF">2026-07-26T05:54:07+03:00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